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tulo"/>
        <w:tabs>
          <w:tab w:val="left" w:pos="2970"/>
          <w:tab w:val="left" w:pos="3150"/>
        </w:tabs>
        <w:jc w:val="left"/>
        <w:rPr>
          <w:rFonts w:ascii="Times New Roman" w:hAnsi="Times New Roman"/>
          <w:sz w:val="24"/>
        </w:rPr>
      </w:pPr>
      <w:bookmarkStart w:id="0" w:name="_Toc41971238"/>
    </w:p>
    <w:p>
      <w:pPr>
        <w:tabs>
          <w:tab w:val="left" w:pos="2212"/>
        </w:tabs>
        <w:jc w:val="center"/>
        <w:rPr>
          <w:b/>
          <w:bCs/>
          <w:sz w:val="36"/>
          <w:szCs w:val="36"/>
          <w:lang w:val="es-EC"/>
        </w:rPr>
      </w:pPr>
      <w:r>
        <w:rPr>
          <w:b/>
          <w:bCs/>
          <w:sz w:val="36"/>
          <w:szCs w:val="36"/>
          <w:lang w:val="es-EC"/>
        </w:rPr>
        <w:t>DOCUMENTOS DE LICITACIÓN PARA CONTRATACIÓN DE BIENES Y/O SERVICIOS DE NO CONSULTORÍA</w:t>
      </w:r>
    </w:p>
    <w:p>
      <w:pPr>
        <w:tabs>
          <w:tab w:val="left" w:pos="2212"/>
        </w:tabs>
        <w:jc w:val="center"/>
        <w:rPr>
          <w:b/>
          <w:bCs/>
          <w:sz w:val="36"/>
          <w:szCs w:val="36"/>
          <w:lang w:val="es-EC"/>
        </w:rPr>
      </w:pPr>
    </w:p>
    <w:p>
      <w:pPr>
        <w:tabs>
          <w:tab w:val="left" w:pos="2212"/>
        </w:tabs>
        <w:jc w:val="center"/>
        <w:rPr>
          <w:b/>
          <w:bCs/>
          <w:sz w:val="36"/>
          <w:szCs w:val="36"/>
          <w:lang w:val="es-EC"/>
        </w:rPr>
      </w:pPr>
      <w:r>
        <w:rPr>
          <w:b/>
          <w:bCs/>
          <w:sz w:val="36"/>
          <w:szCs w:val="36"/>
          <w:lang w:val="es-EC"/>
        </w:rPr>
        <w:t>SOLICITUD DE COTIZACIÓN (SDC)</w:t>
      </w:r>
    </w:p>
    <w:p>
      <w:pPr>
        <w:tabs>
          <w:tab w:val="left" w:pos="2212"/>
        </w:tabs>
        <w:jc w:val="center"/>
        <w:rPr>
          <w:b/>
          <w:bCs/>
          <w:sz w:val="36"/>
          <w:szCs w:val="36"/>
          <w:lang w:val="es-EC"/>
        </w:rPr>
      </w:pPr>
    </w:p>
    <w:p>
      <w:pPr>
        <w:tabs>
          <w:tab w:val="left" w:pos="2212"/>
        </w:tabs>
        <w:jc w:val="center"/>
        <w:rPr>
          <w:b/>
          <w:bCs/>
          <w:i/>
          <w:iCs/>
          <w:color w:val="5B9BD5" w:themeColor="accent1"/>
          <w:sz w:val="36"/>
          <w:szCs w:val="36"/>
          <w:lang w:val="es-EC"/>
        </w:rPr>
      </w:pPr>
      <w:r>
        <w:rPr>
          <w:b/>
          <w:bCs/>
          <w:sz w:val="36"/>
          <w:szCs w:val="36"/>
          <w:lang w:val="es-EC"/>
        </w:rPr>
        <w:t>COMPARACIÓN DE PRECIOS</w:t>
      </w:r>
    </w:p>
    <w:p>
      <w:pPr>
        <w:tabs>
          <w:tab w:val="left" w:pos="2212"/>
        </w:tabs>
        <w:jc w:val="center"/>
        <w:rPr>
          <w:b/>
          <w:bCs/>
          <w:sz w:val="36"/>
          <w:szCs w:val="36"/>
          <w:lang w:val="es-EC"/>
        </w:rPr>
      </w:pPr>
    </w:p>
    <w:p>
      <w:pPr>
        <w:tabs>
          <w:tab w:val="left" w:pos="2212"/>
        </w:tabs>
        <w:jc w:val="center"/>
        <w:rPr>
          <w:b/>
          <w:bCs/>
          <w:sz w:val="36"/>
          <w:szCs w:val="36"/>
          <w:lang w:val="es-EC"/>
        </w:rPr>
      </w:pPr>
      <w:r>
        <w:rPr>
          <w:b/>
          <w:bCs/>
          <w:sz w:val="36"/>
          <w:szCs w:val="36"/>
          <w:lang w:val="es-EC"/>
        </w:rPr>
        <w:t>BANCO INTERAMERICANO DE DESARROLLO</w:t>
      </w:r>
    </w:p>
    <w:p>
      <w:pPr>
        <w:tabs>
          <w:tab w:val="left" w:pos="2212"/>
        </w:tabs>
        <w:jc w:val="center"/>
        <w:rPr>
          <w:b/>
          <w:bCs/>
          <w:sz w:val="36"/>
          <w:szCs w:val="36"/>
          <w:lang w:val="es-EC"/>
        </w:rPr>
      </w:pPr>
    </w:p>
    <w:p>
      <w:pPr>
        <w:tabs>
          <w:tab w:val="left" w:pos="2212"/>
        </w:tabs>
        <w:jc w:val="center"/>
        <w:rPr>
          <w:b/>
          <w:bCs/>
          <w:i/>
          <w:iCs/>
          <w:color w:val="5B9BD5" w:themeColor="accent1"/>
          <w:sz w:val="36"/>
          <w:szCs w:val="36"/>
          <w:lang w:val="es-EC"/>
        </w:rPr>
      </w:pPr>
    </w:p>
    <w:p>
      <w:pPr>
        <w:tabs>
          <w:tab w:val="left" w:pos="2212"/>
        </w:tabs>
        <w:jc w:val="center"/>
        <w:rPr>
          <w:b/>
          <w:bCs/>
          <w:i/>
          <w:iCs/>
          <w:color w:val="5B9BD5" w:themeColor="accent1"/>
          <w:sz w:val="36"/>
          <w:szCs w:val="36"/>
          <w:lang w:val="es-EC"/>
        </w:rPr>
      </w:pPr>
    </w:p>
    <w:p>
      <w:pPr>
        <w:tabs>
          <w:tab w:val="left" w:pos="2212"/>
        </w:tabs>
        <w:jc w:val="center"/>
        <w:rPr>
          <w:b/>
          <w:bCs/>
          <w:i/>
          <w:iCs/>
          <w:color w:val="5B9BD5" w:themeColor="accent1"/>
          <w:sz w:val="36"/>
          <w:szCs w:val="36"/>
          <w:lang w:val="es-EC"/>
        </w:rPr>
      </w:pPr>
      <w:r>
        <w:rPr>
          <w:b/>
          <w:bCs/>
          <w:i/>
          <w:iCs/>
          <w:noProof/>
          <w:color w:val="5B9BD5" w:themeColor="accent1"/>
          <w:sz w:val="36"/>
          <w:szCs w:val="36"/>
        </w:rPr>
        <mc:AlternateContent>
          <mc:Choice Requires="wps">
            <w:drawing>
              <wp:anchor distT="0" distB="0" distL="114300" distR="114300" simplePos="0" relativeHeight="251659264" behindDoc="0" locked="0" layoutInCell="1" allowOverlap="1">
                <wp:simplePos x="0" y="0"/>
                <wp:positionH relativeFrom="column">
                  <wp:posOffset>434340</wp:posOffset>
                </wp:positionH>
                <wp:positionV relativeFrom="paragraph">
                  <wp:posOffset>49530</wp:posOffset>
                </wp:positionV>
                <wp:extent cx="4872038" cy="0"/>
                <wp:effectExtent l="0" t="19050" r="24130" b="19050"/>
                <wp:wrapNone/>
                <wp:docPr id="1764719954" name="Conector recto 1"/>
                <wp:cNvGraphicFramePr/>
                <a:graphic xmlns:a="http://schemas.openxmlformats.org/drawingml/2006/main">
                  <a:graphicData uri="http://schemas.microsoft.com/office/word/2010/wordprocessingShape">
                    <wps:wsp>
                      <wps:cNvCnPr/>
                      <wps:spPr>
                        <a:xfrm>
                          <a:off x="0" y="0"/>
                          <a:ext cx="487203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B14E3E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pt,3.9pt" to="41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" strokecolor="black [3213]" strokeweight="2.25pt">
                <v:stroke joinstyle="miter"/>
              </v:line>
            </w:pict>
          </mc:Fallback>
        </mc:AlternateContent>
      </w:r>
    </w:p>
    <w:p>
      <w:pPr>
        <w:pStyle w:val="DatosdelProceso"/>
        <w:rPr>
          <w:rFonts w:ascii="Times New Roman" w:hAnsi="Times New Roman"/>
          <w:bCs/>
          <w:sz w:val="26"/>
          <w:szCs w:val="26"/>
          <w:lang w:val="es-EC"/>
        </w:rPr>
      </w:pPr>
      <w:r>
        <w:rPr>
          <w:rFonts w:ascii="Times New Roman" w:hAnsi="Times New Roman"/>
          <w:sz w:val="26"/>
          <w:szCs w:val="26"/>
          <w:lang w:val="es-EC"/>
        </w:rPr>
        <w:t xml:space="preserve">Contratante: </w:t>
      </w:r>
      <w:r>
        <w:rPr>
          <w:rFonts w:ascii="Times New Roman" w:hAnsi="Times New Roman"/>
          <w:sz w:val="26"/>
          <w:szCs w:val="26"/>
          <w:lang w:val="es-EC"/>
        </w:rPr>
        <w:tab/>
      </w:r>
      <w:bookmarkStart w:id="1" w:name="NombreEjecutor"/>
      <w:r>
        <w:rPr>
          <w:rFonts w:ascii="Times New Roman" w:hAnsi="Times New Roman"/>
          <w:sz w:val="26"/>
          <w:szCs w:val="26"/>
          <w:lang w:val="es-EC"/>
        </w:rPr>
        <w:tab/>
      </w:r>
      <w:r>
        <w:rPr>
          <w:rFonts w:ascii="Times New Roman" w:hAnsi="Times New Roman"/>
          <w:sz w:val="26"/>
          <w:szCs w:val="26"/>
          <w:lang w:val="es-EC"/>
        </w:rPr>
        <w:tab/>
        <w:t>PROCURADURÍA GENERAL DEL ESTADO</w:t>
      </w:r>
      <w:bookmarkEnd w:id="1"/>
      <w:r>
        <w:rPr>
          <w:rFonts w:ascii="Times New Roman" w:hAnsi="Times New Roman"/>
          <w:bCs/>
          <w:sz w:val="26"/>
          <w:szCs w:val="26"/>
          <w:lang w:val="es-EC"/>
        </w:rPr>
        <w:t xml:space="preserve"> </w:t>
      </w:r>
    </w:p>
    <w:p>
      <w:pPr>
        <w:pStyle w:val="DatosdelProceso"/>
        <w:rPr>
          <w:rFonts w:ascii="Times New Roman" w:hAnsi="Times New Roman"/>
          <w:bCs/>
          <w:sz w:val="26"/>
          <w:szCs w:val="26"/>
          <w:lang w:val="es-EC"/>
        </w:rPr>
      </w:pPr>
    </w:p>
    <w:p>
      <w:pPr>
        <w:pStyle w:val="DatosdelProceso"/>
        <w:ind w:left="3600" w:right="95" w:hanging="3600"/>
        <w:rPr>
          <w:rFonts w:ascii="Times New Roman" w:hAnsi="Times New Roman"/>
          <w:sz w:val="26"/>
          <w:szCs w:val="26"/>
          <w:lang w:val="es-EC"/>
        </w:rPr>
      </w:pPr>
      <w:r>
        <w:rPr>
          <w:rFonts w:ascii="Times New Roman" w:hAnsi="Times New Roman"/>
          <w:sz w:val="26"/>
          <w:szCs w:val="26"/>
          <w:lang w:val="es-EC"/>
        </w:rPr>
        <w:t>Dirección:</w:t>
      </w:r>
      <w:r>
        <w:rPr>
          <w:rFonts w:ascii="Times New Roman" w:hAnsi="Times New Roman"/>
          <w:sz w:val="26"/>
          <w:szCs w:val="26"/>
          <w:lang w:val="es-EC"/>
        </w:rPr>
        <w:tab/>
        <w:t>Quito – Ecuador, Av. Amazonas N39-123 y Arizaga, Edificio Amazonas Plaza</w:t>
      </w:r>
    </w:p>
    <w:p>
      <w:pPr>
        <w:pStyle w:val="DatosdelProceso"/>
        <w:ind w:right="95"/>
        <w:rPr>
          <w:rFonts w:ascii="Times New Roman" w:hAnsi="Times New Roman"/>
          <w:sz w:val="26"/>
          <w:szCs w:val="26"/>
          <w:lang w:val="es-EC"/>
        </w:rPr>
      </w:pPr>
    </w:p>
    <w:p>
      <w:pPr>
        <w:pStyle w:val="DatosdelProceso"/>
        <w:ind w:left="3600" w:right="95" w:hanging="3600"/>
        <w:rPr>
          <w:rFonts w:ascii="Times New Roman" w:hAnsi="Times New Roman"/>
          <w:bCs/>
          <w:sz w:val="26"/>
          <w:szCs w:val="26"/>
          <w:lang w:val="es-EC"/>
        </w:rPr>
      </w:pPr>
      <w:r>
        <w:rPr>
          <w:rFonts w:ascii="Times New Roman" w:hAnsi="Times New Roman"/>
          <w:sz w:val="26"/>
          <w:szCs w:val="26"/>
          <w:lang w:val="es-EC"/>
        </w:rPr>
        <w:t xml:space="preserve">Programa: </w:t>
      </w:r>
      <w:r>
        <w:rPr>
          <w:rFonts w:ascii="Times New Roman" w:hAnsi="Times New Roman"/>
          <w:sz w:val="26"/>
          <w:szCs w:val="26"/>
          <w:lang w:val="es-EC"/>
        </w:rPr>
        <w:tab/>
      </w:r>
      <w:r>
        <w:rPr>
          <w:rFonts w:ascii="Times New Roman" w:hAnsi="Times New Roman"/>
          <w:bCs/>
          <w:sz w:val="26"/>
          <w:szCs w:val="26"/>
          <w:lang w:val="es-EC"/>
        </w:rPr>
        <w:t>PROGRAMA DE MODERNIZACIÓN DE LA ADMINISTRACIÓN FINANCIERA- (EC-L1249) /BID</w:t>
      </w:r>
    </w:p>
    <w:p>
      <w:pPr>
        <w:pStyle w:val="DatosdelProceso"/>
        <w:ind w:left="2160" w:right="95" w:hanging="2160"/>
        <w:rPr>
          <w:rFonts w:ascii="Times New Roman" w:hAnsi="Times New Roman"/>
          <w:bCs/>
          <w:sz w:val="26"/>
          <w:szCs w:val="26"/>
          <w:lang w:val="es-EC"/>
        </w:rPr>
      </w:pPr>
      <w:r>
        <w:rPr>
          <w:rFonts w:ascii="Times New Roman" w:hAnsi="Times New Roman"/>
          <w:bCs/>
          <w:sz w:val="26"/>
          <w:szCs w:val="26"/>
          <w:lang w:val="es-EC"/>
        </w:rPr>
        <w:tab/>
      </w:r>
      <w:r>
        <w:rPr>
          <w:rFonts w:ascii="Times New Roman" w:hAnsi="Times New Roman"/>
          <w:bCs/>
          <w:sz w:val="26"/>
          <w:szCs w:val="26"/>
          <w:lang w:val="es-EC"/>
        </w:rPr>
        <w:tab/>
      </w:r>
    </w:p>
    <w:p>
      <w:pPr>
        <w:pStyle w:val="DatosdelProceso"/>
        <w:ind w:left="3600" w:right="95" w:hanging="3600"/>
        <w:rPr>
          <w:rFonts w:ascii="Times New Roman" w:hAnsi="Times New Roman"/>
          <w:bCs/>
          <w:sz w:val="26"/>
          <w:szCs w:val="26"/>
          <w:lang w:val="es-EC"/>
        </w:rPr>
      </w:pPr>
      <w:r>
        <w:rPr>
          <w:rFonts w:ascii="Times New Roman" w:hAnsi="Times New Roman"/>
          <w:bCs/>
          <w:sz w:val="26"/>
          <w:szCs w:val="26"/>
          <w:lang w:val="es-EC"/>
        </w:rPr>
        <w:t>Componente:</w:t>
      </w:r>
      <w:r>
        <w:rPr>
          <w:rFonts w:ascii="Times New Roman" w:hAnsi="Times New Roman"/>
          <w:bCs/>
          <w:sz w:val="26"/>
          <w:szCs w:val="26"/>
          <w:lang w:val="es-EC"/>
        </w:rPr>
        <w:tab/>
        <w:t>III – Fortalecimiento Institucional de la Procuraduría General del Estado</w:t>
      </w:r>
    </w:p>
    <w:p>
      <w:pPr>
        <w:pStyle w:val="DatosdelProceso"/>
        <w:ind w:right="95"/>
        <w:rPr>
          <w:rFonts w:ascii="Times New Roman" w:hAnsi="Times New Roman"/>
          <w:bCs/>
          <w:sz w:val="26"/>
          <w:szCs w:val="26"/>
          <w:lang w:val="es-EC"/>
        </w:rPr>
      </w:pPr>
    </w:p>
    <w:p>
      <w:pPr>
        <w:pStyle w:val="DatosdelProceso"/>
        <w:ind w:right="95"/>
        <w:rPr>
          <w:rFonts w:ascii="Times New Roman" w:hAnsi="Times New Roman"/>
          <w:bCs/>
          <w:sz w:val="26"/>
          <w:szCs w:val="26"/>
          <w:lang w:val="es-EC"/>
        </w:rPr>
      </w:pPr>
      <w:r>
        <w:rPr>
          <w:rFonts w:ascii="Times New Roman" w:hAnsi="Times New Roman"/>
          <w:sz w:val="26"/>
          <w:szCs w:val="26"/>
          <w:lang w:val="es-EC"/>
        </w:rPr>
        <w:t>Préstamo Nro.:</w:t>
      </w:r>
      <w:r>
        <w:rPr>
          <w:rFonts w:ascii="Times New Roman" w:hAnsi="Times New Roman"/>
          <w:sz w:val="26"/>
          <w:szCs w:val="26"/>
          <w:lang w:val="es-EC"/>
        </w:rPr>
        <w:tab/>
      </w:r>
      <w:bookmarkStart w:id="2" w:name="NúmeroOperación"/>
      <w:r>
        <w:rPr>
          <w:rFonts w:ascii="Times New Roman" w:hAnsi="Times New Roman"/>
          <w:sz w:val="26"/>
          <w:szCs w:val="26"/>
          <w:lang w:val="es-EC"/>
        </w:rPr>
        <w:tab/>
      </w:r>
      <w:r>
        <w:rPr>
          <w:rFonts w:ascii="Times New Roman" w:hAnsi="Times New Roman"/>
          <w:sz w:val="26"/>
          <w:szCs w:val="26"/>
          <w:lang w:val="es-EC"/>
        </w:rPr>
        <w:tab/>
        <w:t>4812/OC-EC</w:t>
      </w:r>
      <w:bookmarkEnd w:id="2"/>
    </w:p>
    <w:p>
      <w:pPr>
        <w:pStyle w:val="DatosdelProceso"/>
        <w:rPr>
          <w:rFonts w:ascii="Times New Roman" w:hAnsi="Times New Roman"/>
          <w:bCs/>
          <w:sz w:val="26"/>
          <w:szCs w:val="26"/>
          <w:lang w:val="es-EC"/>
        </w:rPr>
      </w:pPr>
    </w:p>
    <w:p>
      <w:pPr>
        <w:pStyle w:val="DatosdelProceso"/>
        <w:rPr>
          <w:rFonts w:ascii="Times New Roman" w:hAnsi="Times New Roman"/>
          <w:bCs/>
          <w:sz w:val="26"/>
          <w:szCs w:val="26"/>
          <w:lang w:val="es-EC"/>
        </w:rPr>
      </w:pPr>
    </w:p>
    <w:p>
      <w:pPr>
        <w:pStyle w:val="DatosdelProceso"/>
        <w:rPr>
          <w:rFonts w:ascii="Times New Roman" w:hAnsi="Times New Roman"/>
          <w:bCs/>
          <w:sz w:val="26"/>
          <w:szCs w:val="26"/>
          <w:lang w:val="es-EC"/>
        </w:rPr>
      </w:pPr>
      <w:r>
        <w:rPr>
          <w:rFonts w:ascii="Times New Roman" w:hAnsi="Times New Roman"/>
          <w:sz w:val="26"/>
          <w:szCs w:val="26"/>
          <w:lang w:val="es-EC"/>
        </w:rPr>
        <w:t>Código del Proceso:</w:t>
      </w:r>
      <w:r>
        <w:rPr>
          <w:rFonts w:ascii="Times New Roman" w:hAnsi="Times New Roman"/>
          <w:sz w:val="26"/>
          <w:szCs w:val="26"/>
          <w:lang w:val="es-EC"/>
        </w:rPr>
        <w:tab/>
      </w:r>
      <w:bookmarkStart w:id="3" w:name="CódigoProceso"/>
      <w:r>
        <w:rPr>
          <w:rFonts w:ascii="Times New Roman" w:hAnsi="Times New Roman"/>
          <w:sz w:val="26"/>
          <w:szCs w:val="26"/>
          <w:lang w:val="es-EC"/>
        </w:rPr>
        <w:tab/>
      </w:r>
      <w:bookmarkStart w:id="4" w:name="_Hlk193550025"/>
      <w:r>
        <w:rPr>
          <w:rFonts w:ascii="Times New Roman" w:hAnsi="Times New Roman"/>
          <w:bCs/>
          <w:sz w:val="26"/>
          <w:szCs w:val="26"/>
          <w:lang w:val="es-EC"/>
        </w:rPr>
        <w:fldChar w:fldCharType="begin"/>
      </w:r>
      <w:r>
        <w:rPr>
          <w:rFonts w:ascii="Times New Roman" w:hAnsi="Times New Roman"/>
          <w:sz w:val="26"/>
          <w:szCs w:val="26"/>
          <w:lang w:val="es-EC"/>
        </w:rPr>
        <w:instrText xml:space="preserve"> FILLIN  "CÓDIGO DEL PROCESO" \d "CÓDIGO DEL PROCESO"  \* MERGEFORMAT </w:instrText>
      </w:r>
      <w:r>
        <w:rPr>
          <w:rFonts w:ascii="Times New Roman" w:hAnsi="Times New Roman"/>
          <w:bCs/>
          <w:sz w:val="26"/>
          <w:szCs w:val="26"/>
          <w:lang w:val="es-EC"/>
        </w:rPr>
        <w:fldChar w:fldCharType="separate"/>
      </w:r>
      <w:r>
        <w:rPr>
          <w:rFonts w:ascii="Times New Roman" w:hAnsi="Times New Roman"/>
          <w:sz w:val="26"/>
          <w:szCs w:val="26"/>
          <w:lang w:val="es-EC"/>
        </w:rPr>
        <w:t>EC-L1249-P000</w:t>
      </w:r>
      <w:r>
        <w:rPr>
          <w:rFonts w:ascii="Times New Roman" w:hAnsi="Times New Roman"/>
          <w:bCs/>
          <w:sz w:val="26"/>
          <w:szCs w:val="26"/>
          <w:lang w:val="es-EC"/>
        </w:rPr>
        <w:fldChar w:fldCharType="end"/>
      </w:r>
      <w:bookmarkEnd w:id="3"/>
      <w:bookmarkEnd w:id="4"/>
      <w:r>
        <w:rPr>
          <w:rFonts w:ascii="Times New Roman" w:hAnsi="Times New Roman"/>
          <w:bCs/>
          <w:sz w:val="26"/>
          <w:szCs w:val="26"/>
          <w:lang w:val="es-EC"/>
        </w:rPr>
        <w:t>28</w:t>
      </w:r>
    </w:p>
    <w:p>
      <w:pPr>
        <w:pStyle w:val="DatosdelProceso"/>
        <w:rPr>
          <w:rFonts w:ascii="Times New Roman" w:hAnsi="Times New Roman"/>
          <w:bCs/>
          <w:sz w:val="26"/>
          <w:szCs w:val="26"/>
          <w:lang w:val="es-EC"/>
        </w:rPr>
      </w:pPr>
    </w:p>
    <w:p>
      <w:pPr>
        <w:pStyle w:val="DatosdelProceso"/>
        <w:ind w:left="3600" w:right="95" w:hanging="3600"/>
        <w:rPr>
          <w:rFonts w:ascii="Times New Roman" w:hAnsi="Times New Roman"/>
          <w:bCs/>
          <w:sz w:val="26"/>
          <w:szCs w:val="26"/>
          <w:lang w:val="es-EC"/>
        </w:rPr>
      </w:pPr>
      <w:r>
        <w:rPr>
          <w:rFonts w:ascii="Times New Roman" w:hAnsi="Times New Roman"/>
          <w:sz w:val="26"/>
          <w:szCs w:val="26"/>
          <w:lang w:val="es-EC"/>
        </w:rPr>
        <w:t>Nombre de la contratación:</w:t>
      </w:r>
      <w:r>
        <w:rPr>
          <w:rFonts w:ascii="Times New Roman" w:hAnsi="Times New Roman"/>
          <w:sz w:val="26"/>
          <w:szCs w:val="26"/>
          <w:lang w:val="es-EC"/>
        </w:rPr>
        <w:tab/>
      </w:r>
      <w:r>
        <w:rPr>
          <w:rFonts w:ascii="Times New Roman" w:hAnsi="Times New Roman"/>
          <w:bCs/>
          <w:sz w:val="26"/>
          <w:szCs w:val="26"/>
          <w:lang w:val="es-EC"/>
        </w:rPr>
        <w:t>CAPACITACIÓN HERRAMIENTAS DE COMUNICACIÓN</w:t>
      </w:r>
    </w:p>
    <w:p>
      <w:pPr>
        <w:pStyle w:val="DatosdelProceso"/>
        <w:rPr>
          <w:rFonts w:ascii="Times New Roman" w:hAnsi="Times New Roman"/>
          <w:bCs/>
          <w:sz w:val="26"/>
          <w:szCs w:val="26"/>
          <w:lang w:val="es-EC"/>
        </w:rPr>
      </w:pPr>
    </w:p>
    <w:p>
      <w:pPr>
        <w:pStyle w:val="DatosdelProceso"/>
        <w:rPr>
          <w:rFonts w:ascii="Times New Roman" w:hAnsi="Times New Roman"/>
          <w:bCs/>
          <w:sz w:val="26"/>
          <w:szCs w:val="26"/>
          <w:lang w:val="es-EC"/>
        </w:rPr>
      </w:pPr>
      <w:r>
        <w:rPr>
          <w:rFonts w:ascii="Times New Roman" w:hAnsi="Times New Roman"/>
          <w:sz w:val="26"/>
          <w:szCs w:val="26"/>
          <w:lang w:val="es-EC"/>
        </w:rPr>
        <w:t xml:space="preserve">País: </w:t>
      </w:r>
      <w:r>
        <w:rPr>
          <w:rFonts w:ascii="Times New Roman" w:hAnsi="Times New Roman"/>
          <w:sz w:val="26"/>
          <w:szCs w:val="26"/>
          <w:lang w:val="es-EC"/>
        </w:rPr>
        <w:tab/>
      </w:r>
      <w:r>
        <w:rPr>
          <w:rFonts w:ascii="Times New Roman" w:hAnsi="Times New Roman"/>
          <w:sz w:val="26"/>
          <w:szCs w:val="26"/>
          <w:lang w:val="es-EC"/>
        </w:rPr>
        <w:tab/>
      </w:r>
      <w:r>
        <w:rPr>
          <w:rFonts w:ascii="Times New Roman" w:hAnsi="Times New Roman"/>
          <w:sz w:val="26"/>
          <w:szCs w:val="26"/>
          <w:lang w:val="es-EC"/>
        </w:rPr>
        <w:tab/>
      </w:r>
      <w:bookmarkStart w:id="5" w:name="Prestatario"/>
      <w:r>
        <w:rPr>
          <w:rFonts w:ascii="Times New Roman" w:hAnsi="Times New Roman"/>
          <w:sz w:val="26"/>
          <w:szCs w:val="26"/>
          <w:lang w:val="es-EC"/>
        </w:rPr>
        <w:tab/>
      </w:r>
      <w:r>
        <w:rPr>
          <w:rFonts w:ascii="Times New Roman" w:hAnsi="Times New Roman"/>
          <w:sz w:val="26"/>
          <w:szCs w:val="26"/>
          <w:lang w:val="es-EC"/>
        </w:rPr>
        <w:tab/>
      </w:r>
      <w:r>
        <w:rPr>
          <w:rFonts w:ascii="Times New Roman" w:hAnsi="Times New Roman"/>
          <w:bCs/>
          <w:sz w:val="26"/>
          <w:szCs w:val="26"/>
          <w:lang w:val="es-EC"/>
        </w:rPr>
        <w:t>República del Ecuador</w:t>
      </w:r>
    </w:p>
    <w:bookmarkEnd w:id="5"/>
    <w:p>
      <w:pPr>
        <w:pStyle w:val="DatosdelProceso"/>
        <w:rPr>
          <w:rFonts w:ascii="Times New Roman" w:hAnsi="Times New Roman"/>
          <w:sz w:val="26"/>
          <w:szCs w:val="26"/>
        </w:rPr>
      </w:pPr>
    </w:p>
    <w:p>
      <w:pPr>
        <w:pStyle w:val="DatosdelProceso"/>
        <w:rPr>
          <w:rFonts w:ascii="Times New Roman" w:hAnsi="Times New Roman"/>
          <w:sz w:val="28"/>
        </w:rPr>
      </w:pPr>
    </w:p>
    <w:p>
      <w:pPr>
        <w:pStyle w:val="DatosdelProceso"/>
        <w:jc w:val="center"/>
        <w:rPr>
          <w:rFonts w:ascii="Times New Roman" w:hAnsi="Times New Roman"/>
          <w:sz w:val="28"/>
        </w:rPr>
      </w:pPr>
      <w:r>
        <w:rPr>
          <w:rFonts w:ascii="Times New Roman" w:hAnsi="Times New Roman"/>
          <w:sz w:val="28"/>
        </w:rPr>
        <w:t>Emitido en Quito, 13 de mayo de 2025</w:t>
      </w:r>
    </w:p>
    <w:p>
      <w:pPr>
        <w:rPr>
          <w:b/>
          <w:sz w:val="40"/>
          <w:szCs w:val="32"/>
          <w:lang w:val="es-ES"/>
        </w:rPr>
      </w:pPr>
      <w:r>
        <w:rPr>
          <w:b/>
          <w:sz w:val="40"/>
          <w:szCs w:val="32"/>
          <w:lang w:val="es-ES"/>
        </w:rPr>
        <w:br w:type="page"/>
      </w:r>
    </w:p>
    <w:p>
      <w:pPr>
        <w:jc w:val="center"/>
        <w:rPr>
          <w:b/>
          <w:sz w:val="32"/>
          <w:szCs w:val="32"/>
          <w:lang w:val="es-ES"/>
        </w:rPr>
        <w:sectPr>
          <w:headerReference w:type="even" r:id="rId14"/>
          <w:headerReference w:type="default" r:id="rId15"/>
          <w:headerReference w:type="first" r:id="rId16"/>
          <w:pgSz w:w="11906" w:h="16838" w:code="9"/>
          <w:pgMar w:top="1440" w:right="1440" w:bottom="1440" w:left="1440" w:header="720" w:footer="720" w:gutter="0"/>
          <w:paperSrc w:first="15" w:other="15"/>
          <w:pgNumType w:fmt="lowerRoman"/>
          <w:cols w:space="720"/>
          <w:titlePg/>
          <w:docGrid w:linePitch="326"/>
        </w:sectPr>
      </w:pPr>
    </w:p>
    <w:p>
      <w:pPr>
        <w:tabs>
          <w:tab w:val="left" w:pos="5209"/>
        </w:tabs>
        <w:spacing w:after="120"/>
        <w:ind w:right="709"/>
        <w:jc w:val="center"/>
        <w:rPr>
          <w:b/>
          <w:bCs/>
          <w:snapToGrid w:val="0"/>
          <w:color w:val="000000"/>
          <w:spacing w:val="14"/>
          <w:sz w:val="22"/>
          <w:szCs w:val="22"/>
          <w:lang w:val="es-EC"/>
        </w:rPr>
      </w:pPr>
      <w:bookmarkStart w:id="6" w:name="_Toc175256869"/>
      <w:bookmarkEnd w:id="0"/>
      <w:r>
        <w:rPr>
          <w:b/>
          <w:bCs/>
          <w:snapToGrid w:val="0"/>
          <w:color w:val="000000"/>
          <w:spacing w:val="14"/>
          <w:sz w:val="22"/>
          <w:szCs w:val="22"/>
          <w:lang w:val="es-EC"/>
        </w:rPr>
        <w:lastRenderedPageBreak/>
        <w:t>Índice</w:t>
      </w:r>
      <w:bookmarkEnd w:id="6"/>
    </w:p>
    <w:p>
      <w:pPr>
        <w:jc w:val="center"/>
        <w:rPr>
          <w:b/>
          <w:sz w:val="32"/>
          <w:szCs w:val="32"/>
          <w:lang w:val="es-ES"/>
        </w:rPr>
      </w:pPr>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r>
        <w:rPr>
          <w:rFonts w:ascii="Times New Roman" w:hAnsi="Times New Roman"/>
          <w:b w:val="0"/>
          <w:noProof/>
          <w:lang w:val="es-ES"/>
        </w:rPr>
        <w:fldChar w:fldCharType="begin"/>
      </w:r>
      <w:r>
        <w:rPr>
          <w:rFonts w:ascii="Times New Roman" w:hAnsi="Times New Roman"/>
          <w:b w:val="0"/>
          <w:noProof/>
          <w:lang w:val="es-ES"/>
        </w:rPr>
        <w:instrText xml:space="preserve"> TOC \h \z \t "Seccion;1;Sec VI - Header 2;3;Sec VI - Header 3;3;Secciones;1;IAO´s;3;Subsecciones;2;Partes;1" </w:instrText>
      </w:r>
      <w:r>
        <w:rPr>
          <w:rFonts w:ascii="Times New Roman" w:hAnsi="Times New Roman"/>
          <w:b w:val="0"/>
          <w:noProof/>
          <w:lang w:val="es-ES"/>
        </w:rPr>
        <w:fldChar w:fldCharType="separate"/>
      </w:r>
      <w:hyperlink w:anchor="_Toc175256867" w:history="1">
        <w:r>
          <w:rPr>
            <w:rStyle w:val="Hipervnculo"/>
            <w:rFonts w:ascii="Times New Roman" w:hAnsi="Times New Roman"/>
            <w:noProof/>
          </w:rPr>
          <w:t>Introducción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_Toc175256867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868" w:history="1">
        <w:r>
          <w:rPr>
            <w:rStyle w:val="Hipervnculo"/>
            <w:rFonts w:ascii="Times New Roman" w:hAnsi="Times New Roman"/>
            <w:noProof/>
          </w:rPr>
          <w:t>Sección I.  Instrucciones a los Oferentes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_Toc175256868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iii</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869" w:history="1">
        <w:r>
          <w:rPr>
            <w:rStyle w:val="Hipervnculo"/>
            <w:rFonts w:ascii="Times New Roman" w:hAnsi="Times New Roman"/>
            <w:noProof/>
          </w:rPr>
          <w:t>Índice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_Toc175256869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ii</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870" w:history="1">
        <w:r>
          <w:rPr>
            <w:rStyle w:val="Hipervnculo"/>
            <w:rFonts w:ascii="Times New Roman" w:hAnsi="Times New Roman"/>
            <w:noProof/>
          </w:rPr>
          <w:t>Primera Parte – Procedimientos de Licitación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_Toc175256870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871" w:history="1">
        <w:r>
          <w:rPr>
            <w:rStyle w:val="Hipervnculo"/>
            <w:rFonts w:ascii="Times New Roman" w:hAnsi="Times New Roman"/>
            <w:noProof/>
          </w:rPr>
          <w:t>Sección I. Instrucciones a los Oferentes (IAO)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_Toc175256871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DC2"/>
        <w:tabs>
          <w:tab w:val="left" w:pos="720"/>
          <w:tab w:val="right" w:leader="dot" w:pos="9016"/>
        </w:tabs>
        <w:rPr>
          <w:rFonts w:ascii="Times New Roman" w:eastAsiaTheme="minorEastAsia" w:hAnsi="Times New Roman"/>
          <w:b w:val="0"/>
          <w:noProof/>
          <w:kern w:val="2"/>
          <w:sz w:val="24"/>
          <w:szCs w:val="24"/>
          <w:lang w:val="es-EC" w:eastAsia="es-EC"/>
          <w14:ligatures w14:val="standardContextual"/>
        </w:rPr>
      </w:pPr>
      <w:hyperlink w:anchor="_Toc175256872" w:history="1">
        <w:r>
          <w:rPr>
            <w:rStyle w:val="Hipervnculo"/>
            <w:rFonts w:ascii="Times New Roman" w:hAnsi="Times New Roman"/>
            <w:noProof/>
          </w:rPr>
          <w:t>A.</w:t>
        </w:r>
        <w:r>
          <w:rPr>
            <w:rFonts w:ascii="Times New Roman" w:eastAsiaTheme="minorEastAsia" w:hAnsi="Times New Roman"/>
            <w:b w:val="0"/>
            <w:noProof/>
            <w:kern w:val="2"/>
            <w:sz w:val="24"/>
            <w:szCs w:val="24"/>
            <w:lang w:val="es-EC" w:eastAsia="es-EC"/>
            <w14:ligatures w14:val="standardContextual"/>
          </w:rPr>
          <w:tab/>
        </w:r>
        <w:r>
          <w:rPr>
            <w:rStyle w:val="Hipervnculo"/>
            <w:rFonts w:ascii="Times New Roman" w:hAnsi="Times New Roman"/>
            <w:noProof/>
          </w:rPr>
          <w:t>Disposiciones Generales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_Toc175256872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DC3"/>
        <w:tabs>
          <w:tab w:val="left" w:pos="960"/>
          <w:tab w:val="right" w:leader="dot" w:pos="9016"/>
        </w:tabs>
        <w:rPr>
          <w:rFonts w:ascii="Times New Roman" w:eastAsiaTheme="minorEastAsia" w:hAnsi="Times New Roman"/>
          <w:noProof/>
          <w:kern w:val="2"/>
          <w:sz w:val="24"/>
          <w:szCs w:val="24"/>
          <w:lang w:val="es-EC" w:eastAsia="es-EC"/>
          <w14:ligatures w14:val="standardContextual"/>
        </w:rPr>
      </w:pPr>
      <w:hyperlink w:anchor="_Toc175256873" w:history="1">
        <w:r>
          <w:rPr>
            <w:rStyle w:val="Hipervnculo"/>
            <w:rFonts w:ascii="Times New Roman" w:hAnsi="Times New Roman"/>
            <w:noProof/>
          </w:rPr>
          <w:t>1.</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Alcance de la licitación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_Toc175256873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DC3"/>
        <w:tabs>
          <w:tab w:val="left" w:pos="960"/>
          <w:tab w:val="right" w:leader="dot" w:pos="9016"/>
        </w:tabs>
        <w:rPr>
          <w:rFonts w:ascii="Times New Roman" w:eastAsiaTheme="minorEastAsia" w:hAnsi="Times New Roman"/>
          <w:noProof/>
          <w:kern w:val="2"/>
          <w:sz w:val="24"/>
          <w:szCs w:val="24"/>
          <w:lang w:val="es-EC" w:eastAsia="es-EC"/>
          <w14:ligatures w14:val="standardContextual"/>
        </w:rPr>
      </w:pPr>
      <w:hyperlink w:anchor="_Toc175256874" w:history="1">
        <w:r>
          <w:rPr>
            <w:rStyle w:val="Hipervnculo"/>
            <w:rFonts w:ascii="Times New Roman" w:hAnsi="Times New Roman"/>
            <w:noProof/>
          </w:rPr>
          <w:t>2.</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Fuente de Financiamiento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_Toc175256874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DC3"/>
        <w:tabs>
          <w:tab w:val="left" w:pos="960"/>
          <w:tab w:val="right" w:leader="dot" w:pos="9016"/>
        </w:tabs>
        <w:rPr>
          <w:rFonts w:ascii="Times New Roman" w:eastAsiaTheme="minorEastAsia" w:hAnsi="Times New Roman"/>
          <w:noProof/>
          <w:kern w:val="2"/>
          <w:sz w:val="24"/>
          <w:szCs w:val="24"/>
          <w:lang w:val="es-EC" w:eastAsia="es-EC"/>
          <w14:ligatures w14:val="standardContextual"/>
        </w:rPr>
      </w:pPr>
      <w:hyperlink w:anchor="_Toc175256875" w:history="1">
        <w:r>
          <w:rPr>
            <w:rStyle w:val="Hipervnculo"/>
            <w:rFonts w:ascii="Times New Roman" w:hAnsi="Times New Roman"/>
            <w:noProof/>
          </w:rPr>
          <w:t>3.</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Prácticas Prohibidas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_Toc175256875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w:t>
        </w:r>
        <w:r>
          <w:rPr>
            <w:rFonts w:ascii="Times New Roman" w:hAnsi="Times New Roman"/>
            <w:noProof/>
            <w:webHidden/>
          </w:rPr>
          <w:fldChar w:fldCharType="end"/>
        </w:r>
      </w:hyperlink>
    </w:p>
    <w:p>
      <w:pPr>
        <w:pStyle w:val="TDC3"/>
        <w:tabs>
          <w:tab w:val="left" w:pos="960"/>
          <w:tab w:val="right" w:leader="dot" w:pos="9016"/>
        </w:tabs>
        <w:rPr>
          <w:rFonts w:ascii="Times New Roman" w:eastAsiaTheme="minorEastAsia" w:hAnsi="Times New Roman"/>
          <w:noProof/>
          <w:kern w:val="2"/>
          <w:sz w:val="24"/>
          <w:szCs w:val="24"/>
          <w:lang w:val="es-EC" w:eastAsia="es-EC"/>
          <w14:ligatures w14:val="standardContextual"/>
        </w:rPr>
      </w:pPr>
      <w:hyperlink w:anchor="_Toc175256876" w:history="1">
        <w:r>
          <w:rPr>
            <w:rStyle w:val="Hipervnculo"/>
            <w:rFonts w:ascii="Times New Roman" w:hAnsi="Times New Roman"/>
            <w:noProof/>
          </w:rPr>
          <w:t>4.</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Actividades Prohibidas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_Toc175256876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w:t>
        </w:r>
        <w:r>
          <w:rPr>
            <w:rFonts w:ascii="Times New Roman" w:hAnsi="Times New Roman"/>
            <w:noProof/>
            <w:webHidden/>
          </w:rPr>
          <w:fldChar w:fldCharType="end"/>
        </w:r>
      </w:hyperlink>
    </w:p>
    <w:p>
      <w:pPr>
        <w:pStyle w:val="TDC3"/>
        <w:tabs>
          <w:tab w:val="left" w:pos="960"/>
          <w:tab w:val="right" w:leader="dot" w:pos="9016"/>
        </w:tabs>
        <w:rPr>
          <w:rFonts w:ascii="Times New Roman" w:eastAsiaTheme="minorEastAsia" w:hAnsi="Times New Roman"/>
          <w:noProof/>
          <w:kern w:val="2"/>
          <w:sz w:val="24"/>
          <w:szCs w:val="24"/>
          <w:lang w:val="es-EC" w:eastAsia="es-EC"/>
          <w14:ligatures w14:val="standardContextual"/>
        </w:rPr>
      </w:pPr>
      <w:hyperlink w:anchor="_Toc175256877" w:history="1">
        <w:r>
          <w:rPr>
            <w:rStyle w:val="Hipervnculo"/>
            <w:rFonts w:ascii="Times New Roman" w:hAnsi="Times New Roman"/>
            <w:noProof/>
          </w:rPr>
          <w:t>5.</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Oferentes Elegibles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_Toc175256877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w:t>
        </w:r>
        <w:r>
          <w:rPr>
            <w:rFonts w:ascii="Times New Roman" w:hAnsi="Times New Roman"/>
            <w:noProof/>
            <w:webHidden/>
          </w:rPr>
          <w:fldChar w:fldCharType="end"/>
        </w:r>
      </w:hyperlink>
    </w:p>
    <w:p>
      <w:pPr>
        <w:pStyle w:val="TDC3"/>
        <w:tabs>
          <w:tab w:val="left" w:pos="960"/>
          <w:tab w:val="right" w:leader="dot" w:pos="9016"/>
        </w:tabs>
        <w:rPr>
          <w:rFonts w:ascii="Times New Roman" w:eastAsiaTheme="minorEastAsia" w:hAnsi="Times New Roman"/>
          <w:noProof/>
          <w:kern w:val="2"/>
          <w:sz w:val="24"/>
          <w:szCs w:val="24"/>
          <w:lang w:val="es-EC" w:eastAsia="es-EC"/>
          <w14:ligatures w14:val="standardContextual"/>
        </w:rPr>
      </w:pPr>
      <w:hyperlink w:anchor="_Toc175256878" w:history="1">
        <w:r>
          <w:rPr>
            <w:rStyle w:val="Hipervnculo"/>
            <w:rFonts w:ascii="Times New Roman" w:hAnsi="Times New Roman"/>
            <w:iCs/>
            <w:noProof/>
          </w:rPr>
          <w:t>6.</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Elegibilidad de los Bienes y Servicios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_Toc175256878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14</w:t>
        </w:r>
        <w:r>
          <w:rPr>
            <w:rFonts w:ascii="Times New Roman" w:hAnsi="Times New Roman"/>
            <w:noProof/>
            <w:webHidden/>
          </w:rPr>
          <w:fldChar w:fldCharType="end"/>
        </w:r>
      </w:hyperlink>
    </w:p>
    <w:p>
      <w:pPr>
        <w:pStyle w:val="TDC2"/>
        <w:tabs>
          <w:tab w:val="left" w:pos="720"/>
          <w:tab w:val="right" w:leader="dot" w:pos="9016"/>
        </w:tabs>
        <w:rPr>
          <w:rFonts w:ascii="Times New Roman" w:eastAsiaTheme="minorEastAsia" w:hAnsi="Times New Roman"/>
          <w:b w:val="0"/>
          <w:noProof/>
          <w:kern w:val="2"/>
          <w:sz w:val="24"/>
          <w:szCs w:val="24"/>
          <w:lang w:val="es-EC" w:eastAsia="es-EC"/>
          <w14:ligatures w14:val="standardContextual"/>
        </w:rPr>
      </w:pPr>
      <w:hyperlink w:anchor="_Toc175256879" w:history="1">
        <w:r>
          <w:rPr>
            <w:rStyle w:val="Hipervnculo"/>
            <w:rFonts w:ascii="Times New Roman" w:hAnsi="Times New Roman"/>
            <w:noProof/>
          </w:rPr>
          <w:t>B.</w:t>
        </w:r>
        <w:r>
          <w:rPr>
            <w:rFonts w:ascii="Times New Roman" w:eastAsiaTheme="minorEastAsia" w:hAnsi="Times New Roman"/>
            <w:b w:val="0"/>
            <w:noProof/>
            <w:kern w:val="2"/>
            <w:sz w:val="24"/>
            <w:szCs w:val="24"/>
            <w:lang w:val="es-EC" w:eastAsia="es-EC"/>
            <w14:ligatures w14:val="standardContextual"/>
          </w:rPr>
          <w:tab/>
        </w:r>
        <w:r>
          <w:rPr>
            <w:rStyle w:val="Hipervnculo"/>
            <w:rFonts w:ascii="Times New Roman" w:hAnsi="Times New Roman"/>
            <w:noProof/>
          </w:rPr>
          <w:t>Contenido del Documento de Solicitud de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_Toc175256879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15</w:t>
        </w:r>
        <w:r>
          <w:rPr>
            <w:rFonts w:ascii="Times New Roman" w:hAnsi="Times New Roman"/>
            <w:noProof/>
            <w:webHidden/>
          </w:rPr>
          <w:fldChar w:fldCharType="end"/>
        </w:r>
      </w:hyperlink>
    </w:p>
    <w:p>
      <w:pPr>
        <w:pStyle w:val="TDC3"/>
        <w:tabs>
          <w:tab w:val="left" w:pos="960"/>
          <w:tab w:val="right" w:leader="dot" w:pos="9016"/>
        </w:tabs>
        <w:rPr>
          <w:rFonts w:ascii="Times New Roman" w:eastAsiaTheme="minorEastAsia" w:hAnsi="Times New Roman"/>
          <w:noProof/>
          <w:kern w:val="2"/>
          <w:sz w:val="24"/>
          <w:szCs w:val="24"/>
          <w:lang w:val="es-EC" w:eastAsia="es-EC"/>
          <w14:ligatures w14:val="standardContextual"/>
        </w:rPr>
      </w:pPr>
      <w:hyperlink w:anchor="_Toc175256880" w:history="1">
        <w:r>
          <w:rPr>
            <w:rStyle w:val="Hipervnculo"/>
            <w:rFonts w:ascii="Times New Roman" w:hAnsi="Times New Roman"/>
            <w:noProof/>
          </w:rPr>
          <w:t>7.</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Secciones del Documento de Licitación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_Toc175256880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15</w:t>
        </w:r>
        <w:r>
          <w:rPr>
            <w:rFonts w:ascii="Times New Roman" w:hAnsi="Times New Roman"/>
            <w:noProof/>
            <w:webHidden/>
          </w:rPr>
          <w:fldChar w:fldCharType="end"/>
        </w:r>
      </w:hyperlink>
    </w:p>
    <w:p>
      <w:pPr>
        <w:pStyle w:val="TDC3"/>
        <w:tabs>
          <w:tab w:val="left" w:pos="960"/>
          <w:tab w:val="right" w:leader="dot" w:pos="9016"/>
        </w:tabs>
        <w:rPr>
          <w:rFonts w:ascii="Times New Roman" w:eastAsiaTheme="minorEastAsia" w:hAnsi="Times New Roman"/>
          <w:noProof/>
          <w:kern w:val="2"/>
          <w:sz w:val="24"/>
          <w:szCs w:val="24"/>
          <w:lang w:val="es-EC" w:eastAsia="es-EC"/>
          <w14:ligatures w14:val="standardContextual"/>
        </w:rPr>
      </w:pPr>
      <w:hyperlink w:anchor="_Toc175256881" w:history="1">
        <w:r>
          <w:rPr>
            <w:rStyle w:val="Hipervnculo"/>
            <w:rFonts w:ascii="Times New Roman" w:hAnsi="Times New Roman"/>
            <w:noProof/>
          </w:rPr>
          <w:t>8.</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Aclaraciones al Documento de Licitación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_Toc175256881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16</w:t>
        </w:r>
        <w:r>
          <w:rPr>
            <w:rFonts w:ascii="Times New Roman" w:hAnsi="Times New Roman"/>
            <w:noProof/>
            <w:webHidden/>
          </w:rPr>
          <w:fldChar w:fldCharType="end"/>
        </w:r>
      </w:hyperlink>
    </w:p>
    <w:p>
      <w:pPr>
        <w:pStyle w:val="TDC3"/>
        <w:tabs>
          <w:tab w:val="left" w:pos="960"/>
          <w:tab w:val="right" w:leader="dot" w:pos="9016"/>
        </w:tabs>
        <w:rPr>
          <w:rFonts w:ascii="Times New Roman" w:eastAsiaTheme="minorEastAsia" w:hAnsi="Times New Roman"/>
          <w:noProof/>
          <w:kern w:val="2"/>
          <w:sz w:val="24"/>
          <w:szCs w:val="24"/>
          <w:lang w:val="es-EC" w:eastAsia="es-EC"/>
          <w14:ligatures w14:val="standardContextual"/>
        </w:rPr>
      </w:pPr>
      <w:hyperlink w:anchor="_Toc175256882" w:history="1">
        <w:r>
          <w:rPr>
            <w:rStyle w:val="Hipervnculo"/>
            <w:rFonts w:ascii="Times New Roman" w:hAnsi="Times New Roman"/>
            <w:noProof/>
          </w:rPr>
          <w:t>9.</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Enmienda al Documento de Licitación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_Toc175256882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16</w:t>
        </w:r>
        <w:r>
          <w:rPr>
            <w:rFonts w:ascii="Times New Roman" w:hAnsi="Times New Roman"/>
            <w:noProof/>
            <w:webHidden/>
          </w:rPr>
          <w:fldChar w:fldCharType="end"/>
        </w:r>
      </w:hyperlink>
    </w:p>
    <w:p>
      <w:pPr>
        <w:pStyle w:val="TDC2"/>
        <w:tabs>
          <w:tab w:val="left" w:pos="720"/>
          <w:tab w:val="right" w:leader="dot" w:pos="9016"/>
        </w:tabs>
        <w:rPr>
          <w:rFonts w:ascii="Times New Roman" w:eastAsiaTheme="minorEastAsia" w:hAnsi="Times New Roman"/>
          <w:b w:val="0"/>
          <w:noProof/>
          <w:kern w:val="2"/>
          <w:sz w:val="24"/>
          <w:szCs w:val="24"/>
          <w:lang w:val="es-EC" w:eastAsia="es-EC"/>
          <w14:ligatures w14:val="standardContextual"/>
        </w:rPr>
      </w:pPr>
      <w:hyperlink w:anchor="_Toc175256883" w:history="1">
        <w:r>
          <w:rPr>
            <w:rStyle w:val="Hipervnculo"/>
            <w:rFonts w:ascii="Times New Roman" w:hAnsi="Times New Roman"/>
            <w:noProof/>
          </w:rPr>
          <w:t>C.</w:t>
        </w:r>
        <w:r>
          <w:rPr>
            <w:rFonts w:ascii="Times New Roman" w:eastAsiaTheme="minorEastAsia" w:hAnsi="Times New Roman"/>
            <w:b w:val="0"/>
            <w:noProof/>
            <w:kern w:val="2"/>
            <w:sz w:val="24"/>
            <w:szCs w:val="24"/>
            <w:lang w:val="es-EC" w:eastAsia="es-EC"/>
            <w14:ligatures w14:val="standardContextual"/>
          </w:rPr>
          <w:tab/>
        </w:r>
        <w:r>
          <w:rPr>
            <w:rStyle w:val="Hipervnculo"/>
            <w:rFonts w:ascii="Times New Roman" w:hAnsi="Times New Roman"/>
            <w:noProof/>
          </w:rPr>
          <w:t>Preparación de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_Toc175256883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17</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84" w:history="1">
        <w:r>
          <w:rPr>
            <w:rStyle w:val="Hipervnculo"/>
            <w:rFonts w:ascii="Times New Roman" w:hAnsi="Times New Roman"/>
            <w:noProof/>
          </w:rPr>
          <w:t>10.</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Costo de la Oferta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_Toc175256884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17</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85" w:history="1">
        <w:r>
          <w:rPr>
            <w:rStyle w:val="Hipervnculo"/>
            <w:rFonts w:ascii="Times New Roman" w:hAnsi="Times New Roman"/>
            <w:noProof/>
          </w:rPr>
          <w:t>11.</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Idioma de la Oferta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_Toc175256885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17</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86" w:history="1">
        <w:r>
          <w:rPr>
            <w:rStyle w:val="Hipervnculo"/>
            <w:rFonts w:ascii="Times New Roman" w:hAnsi="Times New Roman"/>
            <w:noProof/>
          </w:rPr>
          <w:t>12.</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Documentos que Componen la Oferta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_Toc175256886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17</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87" w:history="1">
        <w:r>
          <w:rPr>
            <w:rStyle w:val="Hipervnculo"/>
            <w:rFonts w:ascii="Times New Roman" w:hAnsi="Times New Roman"/>
            <w:noProof/>
          </w:rPr>
          <w:t>13.</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Carta de Oferta y Listas de Precios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_Toc175256887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18</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88" w:history="1">
        <w:r>
          <w:rPr>
            <w:rStyle w:val="Hipervnculo"/>
            <w:rFonts w:ascii="Times New Roman" w:hAnsi="Times New Roman"/>
            <w:noProof/>
          </w:rPr>
          <w:t>14.</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Ofertas Alternativas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_Toc175256888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18</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89" w:history="1">
        <w:r>
          <w:rPr>
            <w:rStyle w:val="Hipervnculo"/>
            <w:rFonts w:ascii="Times New Roman" w:hAnsi="Times New Roman"/>
            <w:noProof/>
          </w:rPr>
          <w:t>15.</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Precios de la Oferta y Descuentos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_Toc175256889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18</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90" w:history="1">
        <w:r>
          <w:rPr>
            <w:rStyle w:val="Hipervnculo"/>
            <w:rFonts w:ascii="Times New Roman" w:hAnsi="Times New Roman"/>
            <w:noProof/>
          </w:rPr>
          <w:t>16.</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Monedas de la Oferta y de los Pagos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_Toc175256890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20</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91" w:history="1">
        <w:r>
          <w:rPr>
            <w:rStyle w:val="Hipervnculo"/>
            <w:rFonts w:ascii="Times New Roman" w:hAnsi="Times New Roman"/>
            <w:noProof/>
          </w:rPr>
          <w:t>17.</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Documentos que Establecen la Elegibilidad y Conformidad de los Bienes y Servicios Conexos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_Toc175256891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21</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92" w:history="1">
        <w:r>
          <w:rPr>
            <w:rStyle w:val="Hipervnculo"/>
            <w:rFonts w:ascii="Times New Roman" w:hAnsi="Times New Roman"/>
            <w:noProof/>
          </w:rPr>
          <w:t>18.</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Documentos que establecen la Elegibilidad y las Calificaciones del Oferente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_Toc175256892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21</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93" w:history="1">
        <w:r>
          <w:rPr>
            <w:rStyle w:val="Hipervnculo"/>
            <w:rFonts w:ascii="Times New Roman" w:hAnsi="Times New Roman"/>
            <w:noProof/>
          </w:rPr>
          <w:t>19.</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Período de Validez de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_Toc175256893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22</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94" w:history="1">
        <w:r>
          <w:rPr>
            <w:rStyle w:val="Hipervnculo"/>
            <w:rFonts w:ascii="Times New Roman" w:hAnsi="Times New Roman"/>
            <w:noProof/>
          </w:rPr>
          <w:t>20.</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 xml:space="preserve">Garantía de </w:t>
        </w:r>
        <w:r>
          <w:rPr>
            <w:rStyle w:val="Hipervnculo"/>
            <w:rFonts w:ascii="Times New Roman" w:hAnsi="Times New Roman"/>
            <w:noProof/>
            <w:spacing w:val="-2"/>
          </w:rPr>
          <w:t>Mantenimiento</w:t>
        </w:r>
        <w:r>
          <w:rPr>
            <w:rStyle w:val="Hipervnculo"/>
            <w:rFonts w:ascii="Times New Roman" w:hAnsi="Times New Roman"/>
            <w:noProof/>
          </w:rPr>
          <w:t xml:space="preserve"> de la Oferta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_Toc175256894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23</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95" w:history="1">
        <w:r>
          <w:rPr>
            <w:rStyle w:val="Hipervnculo"/>
            <w:rFonts w:ascii="Times New Roman" w:hAnsi="Times New Roman"/>
            <w:noProof/>
          </w:rPr>
          <w:t>21.</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Formato y Firma de la Oferta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_Toc175256895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25</w:t>
        </w:r>
        <w:r>
          <w:rPr>
            <w:rFonts w:ascii="Times New Roman" w:hAnsi="Times New Roman"/>
            <w:noProof/>
            <w:webHidden/>
          </w:rPr>
          <w:fldChar w:fldCharType="end"/>
        </w:r>
      </w:hyperlink>
    </w:p>
    <w:p>
      <w:pPr>
        <w:pStyle w:val="TDC2"/>
        <w:tabs>
          <w:tab w:val="left" w:pos="720"/>
          <w:tab w:val="right" w:leader="dot" w:pos="9016"/>
        </w:tabs>
        <w:rPr>
          <w:rFonts w:ascii="Times New Roman" w:eastAsiaTheme="minorEastAsia" w:hAnsi="Times New Roman"/>
          <w:b w:val="0"/>
          <w:noProof/>
          <w:kern w:val="2"/>
          <w:sz w:val="24"/>
          <w:szCs w:val="24"/>
          <w:lang w:val="es-EC" w:eastAsia="es-EC"/>
          <w14:ligatures w14:val="standardContextual"/>
        </w:rPr>
      </w:pPr>
      <w:hyperlink w:anchor="_Toc175256896" w:history="1">
        <w:r>
          <w:rPr>
            <w:rStyle w:val="Hipervnculo"/>
            <w:rFonts w:ascii="Times New Roman" w:hAnsi="Times New Roman"/>
            <w:noProof/>
          </w:rPr>
          <w:t>D.</w:t>
        </w:r>
        <w:r>
          <w:rPr>
            <w:rFonts w:ascii="Times New Roman" w:eastAsiaTheme="minorEastAsia" w:hAnsi="Times New Roman"/>
            <w:b w:val="0"/>
            <w:noProof/>
            <w:kern w:val="2"/>
            <w:sz w:val="24"/>
            <w:szCs w:val="24"/>
            <w:lang w:val="es-EC" w:eastAsia="es-EC"/>
            <w14:ligatures w14:val="standardContextual"/>
          </w:rPr>
          <w:tab/>
        </w:r>
        <w:r>
          <w:rPr>
            <w:rStyle w:val="Hipervnculo"/>
            <w:rFonts w:ascii="Times New Roman" w:hAnsi="Times New Roman"/>
            <w:noProof/>
          </w:rPr>
          <w:t>Presentación y Apertura de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_Toc175256896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26</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97" w:history="1">
        <w:r>
          <w:rPr>
            <w:rStyle w:val="Hipervnculo"/>
            <w:rFonts w:ascii="Times New Roman" w:hAnsi="Times New Roman"/>
            <w:noProof/>
          </w:rPr>
          <w:t>22.</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Cierre e Identificación de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_Toc175256897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26</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98" w:history="1">
        <w:r>
          <w:rPr>
            <w:rStyle w:val="Hipervnculo"/>
            <w:rFonts w:ascii="Times New Roman" w:hAnsi="Times New Roman"/>
            <w:noProof/>
          </w:rPr>
          <w:t>23.</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Plazo para la Presentación de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_Toc175256898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26</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899" w:history="1">
        <w:r>
          <w:rPr>
            <w:rStyle w:val="Hipervnculo"/>
            <w:rFonts w:ascii="Times New Roman" w:hAnsi="Times New Roman"/>
            <w:noProof/>
          </w:rPr>
          <w:t>24.</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Ofertas Tardías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_Toc175256899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27</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00" w:history="1">
        <w:r>
          <w:rPr>
            <w:rStyle w:val="Hipervnculo"/>
            <w:rFonts w:ascii="Times New Roman" w:hAnsi="Times New Roman"/>
            <w:noProof/>
          </w:rPr>
          <w:t>25.</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Retiro, Sustitución y Modificación de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_Toc175256900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27</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01" w:history="1">
        <w:r>
          <w:rPr>
            <w:rStyle w:val="Hipervnculo"/>
            <w:rFonts w:ascii="Times New Roman" w:hAnsi="Times New Roman"/>
            <w:noProof/>
          </w:rPr>
          <w:t>26.</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Apertura de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_Toc175256901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27</w:t>
        </w:r>
        <w:r>
          <w:rPr>
            <w:rFonts w:ascii="Times New Roman" w:hAnsi="Times New Roman"/>
            <w:noProof/>
            <w:webHidden/>
          </w:rPr>
          <w:fldChar w:fldCharType="end"/>
        </w:r>
      </w:hyperlink>
    </w:p>
    <w:p>
      <w:pPr>
        <w:pStyle w:val="TDC2"/>
        <w:tabs>
          <w:tab w:val="left" w:pos="720"/>
          <w:tab w:val="right" w:leader="dot" w:pos="9016"/>
        </w:tabs>
        <w:rPr>
          <w:rFonts w:ascii="Times New Roman" w:eastAsiaTheme="minorEastAsia" w:hAnsi="Times New Roman"/>
          <w:b w:val="0"/>
          <w:noProof/>
          <w:kern w:val="2"/>
          <w:sz w:val="24"/>
          <w:szCs w:val="24"/>
          <w:lang w:val="es-EC" w:eastAsia="es-EC"/>
          <w14:ligatures w14:val="standardContextual"/>
        </w:rPr>
      </w:pPr>
      <w:hyperlink w:anchor="_Toc175256902" w:history="1">
        <w:r>
          <w:rPr>
            <w:rStyle w:val="Hipervnculo"/>
            <w:rFonts w:ascii="Times New Roman" w:hAnsi="Times New Roman"/>
            <w:noProof/>
          </w:rPr>
          <w:t>E.</w:t>
        </w:r>
        <w:r>
          <w:rPr>
            <w:rFonts w:ascii="Times New Roman" w:eastAsiaTheme="minorEastAsia" w:hAnsi="Times New Roman"/>
            <w:b w:val="0"/>
            <w:noProof/>
            <w:kern w:val="2"/>
            <w:sz w:val="24"/>
            <w:szCs w:val="24"/>
            <w:lang w:val="es-EC" w:eastAsia="es-EC"/>
            <w14:ligatures w14:val="standardContextual"/>
          </w:rPr>
          <w:tab/>
        </w:r>
        <w:r>
          <w:rPr>
            <w:rStyle w:val="Hipervnculo"/>
            <w:rFonts w:ascii="Times New Roman" w:hAnsi="Times New Roman"/>
            <w:noProof/>
          </w:rPr>
          <w:t>Evaluación y Comparación de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_Toc175256902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03" w:history="1">
        <w:r>
          <w:rPr>
            <w:rStyle w:val="Hipervnculo"/>
            <w:rFonts w:ascii="Times New Roman" w:hAnsi="Times New Roman"/>
            <w:noProof/>
          </w:rPr>
          <w:t>27.</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Confidencialidad</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_Toc175256903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04" w:history="1">
        <w:r>
          <w:rPr>
            <w:rStyle w:val="Hipervnculo"/>
            <w:rFonts w:ascii="Times New Roman" w:hAnsi="Times New Roman"/>
            <w:noProof/>
          </w:rPr>
          <w:t>28.</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Aclaraciones sobre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_Toc175256904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05" w:history="1">
        <w:r>
          <w:rPr>
            <w:rStyle w:val="Hipervnculo"/>
            <w:rFonts w:ascii="Times New Roman" w:hAnsi="Times New Roman"/>
            <w:noProof/>
          </w:rPr>
          <w:t>29.</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Desviaciones, Reservas y Omisiones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_Toc175256905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30</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06" w:history="1">
        <w:r>
          <w:rPr>
            <w:rStyle w:val="Hipervnculo"/>
            <w:rFonts w:ascii="Times New Roman" w:hAnsi="Times New Roman"/>
            <w:noProof/>
          </w:rPr>
          <w:t>30.</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Determinación del Cumplimiento de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_Toc175256906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30</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07" w:history="1">
        <w:r>
          <w:rPr>
            <w:rStyle w:val="Hipervnculo"/>
            <w:rFonts w:ascii="Times New Roman" w:hAnsi="Times New Roman"/>
            <w:noProof/>
          </w:rPr>
          <w:t>31.</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Falta de Conformidad, Errores y Omisiones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_Toc175256907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31</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08" w:history="1">
        <w:r>
          <w:rPr>
            <w:rStyle w:val="Hipervnculo"/>
            <w:rFonts w:ascii="Times New Roman" w:hAnsi="Times New Roman"/>
            <w:noProof/>
          </w:rPr>
          <w:t>32.</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Corrección de Errores Aritméticos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_Toc175256908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31</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09" w:history="1">
        <w:r>
          <w:rPr>
            <w:rStyle w:val="Hipervnculo"/>
            <w:rFonts w:ascii="Times New Roman" w:hAnsi="Times New Roman"/>
            <w:noProof/>
          </w:rPr>
          <w:t>33.</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Margen de Preferencia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_Toc175256909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32</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10" w:history="1">
        <w:r>
          <w:rPr>
            <w:rStyle w:val="Hipervnculo"/>
            <w:rFonts w:ascii="Times New Roman" w:hAnsi="Times New Roman"/>
            <w:noProof/>
          </w:rPr>
          <w:t>34.</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Evaluación de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_Toc175256910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32</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11" w:history="1">
        <w:r>
          <w:rPr>
            <w:rStyle w:val="Hipervnculo"/>
            <w:rFonts w:ascii="Times New Roman" w:hAnsi="Times New Roman"/>
            <w:iCs/>
            <w:noProof/>
          </w:rPr>
          <w:t>35.</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Comparación de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_Toc175256911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34</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12" w:history="1">
        <w:r>
          <w:rPr>
            <w:rStyle w:val="Hipervnculo"/>
            <w:rFonts w:ascii="Times New Roman" w:hAnsi="Times New Roman"/>
            <w:noProof/>
          </w:rPr>
          <w:t>36.</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Ofertas Anormalmente Bajas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_Toc175256912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34</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13" w:history="1">
        <w:r>
          <w:rPr>
            <w:rStyle w:val="Hipervnculo"/>
            <w:rFonts w:ascii="Times New Roman" w:hAnsi="Times New Roman"/>
            <w:noProof/>
          </w:rPr>
          <w:t>37.</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Calificación del Oferente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_Toc175256913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35</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14" w:history="1">
        <w:r>
          <w:rPr>
            <w:rStyle w:val="Hipervnculo"/>
            <w:rFonts w:ascii="Times New Roman" w:hAnsi="Times New Roman"/>
            <w:noProof/>
          </w:rPr>
          <w:t>38.</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Derecho del Comprador a Aceptar Cualquier Oferta y Rechazar Alguna o Todas las Ofertas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_Toc175256914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35</w:t>
        </w:r>
        <w:r>
          <w:rPr>
            <w:rFonts w:ascii="Times New Roman" w:hAnsi="Times New Roman"/>
            <w:noProof/>
            <w:webHidden/>
          </w:rPr>
          <w:fldChar w:fldCharType="end"/>
        </w:r>
      </w:hyperlink>
    </w:p>
    <w:p>
      <w:pPr>
        <w:pStyle w:val="TDC2"/>
        <w:tabs>
          <w:tab w:val="left" w:pos="720"/>
          <w:tab w:val="right" w:leader="dot" w:pos="9016"/>
        </w:tabs>
        <w:rPr>
          <w:rFonts w:ascii="Times New Roman" w:eastAsiaTheme="minorEastAsia" w:hAnsi="Times New Roman"/>
          <w:b w:val="0"/>
          <w:noProof/>
          <w:kern w:val="2"/>
          <w:sz w:val="24"/>
          <w:szCs w:val="24"/>
          <w:lang w:val="es-EC" w:eastAsia="es-EC"/>
          <w14:ligatures w14:val="standardContextual"/>
        </w:rPr>
      </w:pPr>
      <w:hyperlink w:anchor="_Toc175256915" w:history="1">
        <w:r>
          <w:rPr>
            <w:rStyle w:val="Hipervnculo"/>
            <w:rFonts w:ascii="Times New Roman" w:hAnsi="Times New Roman"/>
            <w:noProof/>
          </w:rPr>
          <w:t>F.</w:t>
        </w:r>
        <w:r>
          <w:rPr>
            <w:rFonts w:ascii="Times New Roman" w:eastAsiaTheme="minorEastAsia" w:hAnsi="Times New Roman"/>
            <w:b w:val="0"/>
            <w:noProof/>
            <w:kern w:val="2"/>
            <w:sz w:val="24"/>
            <w:szCs w:val="24"/>
            <w:lang w:val="es-EC" w:eastAsia="es-EC"/>
            <w14:ligatures w14:val="standardContextual"/>
          </w:rPr>
          <w:tab/>
        </w:r>
        <w:r>
          <w:rPr>
            <w:rStyle w:val="Hipervnculo"/>
            <w:rFonts w:ascii="Times New Roman" w:hAnsi="Times New Roman"/>
            <w:noProof/>
          </w:rPr>
          <w:t>Adjudicación del Contrato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_Toc175256915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35</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16" w:history="1">
        <w:r>
          <w:rPr>
            <w:rStyle w:val="Hipervnculo"/>
            <w:rFonts w:ascii="Times New Roman" w:hAnsi="Times New Roman"/>
            <w:noProof/>
          </w:rPr>
          <w:t>39.</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Criterios de Adjudicación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_Toc175256916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35</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17" w:history="1">
        <w:r>
          <w:rPr>
            <w:rStyle w:val="Hipervnculo"/>
            <w:rFonts w:ascii="Times New Roman" w:hAnsi="Times New Roman"/>
            <w:noProof/>
          </w:rPr>
          <w:t>40.</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Derecho del Comprador a Variar las Cantidades en el Momento de la Adjudicación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_Toc175256917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35</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18" w:history="1">
        <w:r>
          <w:rPr>
            <w:rStyle w:val="Hipervnculo"/>
            <w:rFonts w:ascii="Times New Roman" w:hAnsi="Times New Roman"/>
            <w:noProof/>
          </w:rPr>
          <w:t>41.</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Notificación de la Adjudicación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_Toc175256918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36</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19" w:history="1">
        <w:r>
          <w:rPr>
            <w:rStyle w:val="Hipervnculo"/>
            <w:rFonts w:ascii="Times New Roman" w:hAnsi="Times New Roman"/>
            <w:noProof/>
          </w:rPr>
          <w:t>42.</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Explicaciones del Comprador</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_Toc175256919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37</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20" w:history="1">
        <w:r>
          <w:rPr>
            <w:rStyle w:val="Hipervnculo"/>
            <w:rFonts w:ascii="Times New Roman" w:hAnsi="Times New Roman"/>
            <w:noProof/>
          </w:rPr>
          <w:t>43.</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Firma del Contrato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_Toc175256920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37</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21" w:history="1">
        <w:r>
          <w:rPr>
            <w:rStyle w:val="Hipervnculo"/>
            <w:rFonts w:ascii="Times New Roman" w:hAnsi="Times New Roman"/>
            <w:noProof/>
          </w:rPr>
          <w:t>44.</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Garantía de Cumplimiento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_Toc175256921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38</w:t>
        </w:r>
        <w:r>
          <w:rPr>
            <w:rFonts w:ascii="Times New Roman" w:hAnsi="Times New Roman"/>
            <w:noProof/>
            <w:webHidden/>
          </w:rPr>
          <w:fldChar w:fldCharType="end"/>
        </w:r>
      </w:hyperlink>
    </w:p>
    <w:p>
      <w:pPr>
        <w:pStyle w:val="TDC3"/>
        <w:tabs>
          <w:tab w:val="left" w:pos="1200"/>
          <w:tab w:val="right" w:leader="dot" w:pos="9016"/>
        </w:tabs>
        <w:rPr>
          <w:rFonts w:ascii="Times New Roman" w:eastAsiaTheme="minorEastAsia" w:hAnsi="Times New Roman"/>
          <w:noProof/>
          <w:kern w:val="2"/>
          <w:sz w:val="24"/>
          <w:szCs w:val="24"/>
          <w:lang w:val="es-EC" w:eastAsia="es-EC"/>
          <w14:ligatures w14:val="standardContextual"/>
        </w:rPr>
      </w:pPr>
      <w:hyperlink w:anchor="_Toc175256922" w:history="1">
        <w:r>
          <w:rPr>
            <w:rStyle w:val="Hipervnculo"/>
            <w:rFonts w:ascii="Times New Roman" w:hAnsi="Times New Roman"/>
            <w:noProof/>
          </w:rPr>
          <w:t>45.</w:t>
        </w:r>
        <w:r>
          <w:rPr>
            <w:rFonts w:ascii="Times New Roman" w:eastAsiaTheme="minorEastAsia" w:hAnsi="Times New Roman"/>
            <w:noProof/>
            <w:kern w:val="2"/>
            <w:sz w:val="24"/>
            <w:szCs w:val="24"/>
            <w:lang w:val="es-EC" w:eastAsia="es-EC"/>
            <w14:ligatures w14:val="standardContextual"/>
          </w:rPr>
          <w:tab/>
        </w:r>
        <w:r>
          <w:rPr>
            <w:rStyle w:val="Hipervnculo"/>
            <w:rFonts w:ascii="Times New Roman" w:hAnsi="Times New Roman"/>
            <w:noProof/>
          </w:rPr>
          <w:t>Quejas Relacionadas con Adquisiciones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_Toc175256922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38</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923" w:history="1">
        <w:r>
          <w:rPr>
            <w:rStyle w:val="Hipervnculo"/>
            <w:rFonts w:ascii="Times New Roman" w:hAnsi="Times New Roman"/>
            <w:noProof/>
          </w:rPr>
          <w:t>Sección II. Datos de la Licitación (DDL)</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_Toc175256923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39</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924" w:history="1">
        <w:r>
          <w:rPr>
            <w:rStyle w:val="Hipervnculo"/>
            <w:rFonts w:ascii="Times New Roman" w:hAnsi="Times New Roman"/>
            <w:noProof/>
          </w:rPr>
          <w:t>Sección III. Criterios de Evaluación y Calificación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_Toc175256924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47</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925" w:history="1">
        <w:r>
          <w:rPr>
            <w:rStyle w:val="Hipervnculo"/>
            <w:rFonts w:ascii="Times New Roman" w:hAnsi="Times New Roman"/>
            <w:noProof/>
          </w:rPr>
          <w:t>Sección IV. Países Elegibles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_Toc175256925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54</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926" w:history="1">
        <w:r>
          <w:rPr>
            <w:rStyle w:val="Hipervnculo"/>
            <w:rFonts w:ascii="Times New Roman" w:hAnsi="Times New Roman"/>
            <w:noProof/>
          </w:rPr>
          <w:t>SEGUNDA PARTE. Requisitos de los Bienes y Servicios Conexos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_Toc175256926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74</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927" w:history="1">
        <w:r>
          <w:rPr>
            <w:rStyle w:val="Hipervnculo"/>
            <w:rFonts w:ascii="Times New Roman" w:hAnsi="Times New Roman"/>
            <w:noProof/>
          </w:rPr>
          <w:t>Sección VI. Requisitos de los Bienes y Servicios Conexos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_Toc175256927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74</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928" w:history="1">
        <w:r>
          <w:rPr>
            <w:rStyle w:val="Hipervnculo"/>
            <w:rFonts w:ascii="Times New Roman" w:hAnsi="Times New Roman"/>
            <w:noProof/>
          </w:rPr>
          <w:t>TERCERA PARTE. Condiciones Contractuales y Formularios del Contrato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_Toc175256928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83</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929" w:history="1">
        <w:r>
          <w:rPr>
            <w:rStyle w:val="Hipervnculo"/>
            <w:rFonts w:ascii="Times New Roman" w:hAnsi="Times New Roman"/>
            <w:noProof/>
          </w:rPr>
          <w:t>Sección VII. Condiciones Generales del Contrato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_Toc175256929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83</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930" w:history="1">
        <w:r>
          <w:rPr>
            <w:rStyle w:val="Hipervnculo"/>
            <w:rFonts w:ascii="Times New Roman" w:hAnsi="Times New Roman"/>
            <w:noProof/>
          </w:rPr>
          <w:t>Sección VIII. Condiciones Especiales de Contrato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_Toc175256930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103</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6931" w:history="1">
        <w:r>
          <w:rPr>
            <w:rStyle w:val="Hipervnculo"/>
            <w:rFonts w:ascii="Times New Roman" w:hAnsi="Times New Roman"/>
            <w:noProof/>
          </w:rPr>
          <w:t>Sección IX. Formularios de Contrato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_Toc175256931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111</w:t>
        </w:r>
        <w:r>
          <w:rPr>
            <w:rFonts w:ascii="Times New Roman" w:hAnsi="Times New Roman"/>
            <w:noProof/>
            <w:webHidden/>
          </w:rPr>
          <w:fldChar w:fldCharType="end"/>
        </w:r>
      </w:hyperlink>
    </w:p>
    <w:p>
      <w:pPr>
        <w:pStyle w:val="Part"/>
        <w:spacing w:line="276" w:lineRule="auto"/>
        <w:rPr>
          <w:b w:val="0"/>
          <w:noProof/>
          <w:sz w:val="24"/>
          <w:szCs w:val="20"/>
          <w:lang w:val="es-ES"/>
        </w:rPr>
        <w:sectPr>
          <w:headerReference w:type="even" r:id="rId17"/>
          <w:headerReference w:type="default" r:id="rId18"/>
          <w:headerReference w:type="first" r:id="rId19"/>
          <w:pgSz w:w="11906" w:h="16838" w:code="9"/>
          <w:pgMar w:top="1440" w:right="1440" w:bottom="1440" w:left="1440" w:header="720" w:footer="720" w:gutter="0"/>
          <w:paperSrc w:first="15" w:other="15"/>
          <w:pgNumType w:fmt="lowerRoman"/>
          <w:cols w:space="720"/>
          <w:titlePg/>
          <w:docGrid w:linePitch="326"/>
        </w:sectPr>
      </w:pPr>
      <w:r>
        <w:rPr>
          <w:b w:val="0"/>
          <w:noProof/>
          <w:sz w:val="22"/>
          <w:lang w:val="es-ES"/>
        </w:rPr>
        <w:fldChar w:fldCharType="end"/>
      </w:r>
    </w:p>
    <w:p>
      <w:pPr>
        <w:pStyle w:val="Partes"/>
        <w:rPr>
          <w:rFonts w:ascii="Times New Roman" w:hAnsi="Times New Roman"/>
        </w:rPr>
      </w:pPr>
      <w:bookmarkStart w:id="7" w:name="_Toc175256870"/>
      <w:r>
        <w:rPr>
          <w:rFonts w:ascii="Times New Roman" w:hAnsi="Times New Roman"/>
        </w:rPr>
        <w:lastRenderedPageBreak/>
        <w:t>Primera Parte – Procedimientos de Licitación</w:t>
      </w:r>
      <w:bookmarkEnd w:id="7"/>
    </w:p>
    <w:p>
      <w:pPr>
        <w:pStyle w:val="Secciones"/>
        <w:rPr>
          <w:rFonts w:ascii="Times New Roman" w:hAnsi="Times New Roman"/>
        </w:rPr>
      </w:pPr>
      <w:bookmarkStart w:id="8" w:name="_Toc175256871"/>
      <w:r>
        <w:rPr>
          <w:rFonts w:ascii="Times New Roman" w:hAnsi="Times New Roman"/>
        </w:rPr>
        <w:t>Sección I. Instrucciones a los Oferentes (IAO)</w:t>
      </w:r>
      <w:bookmarkEnd w:id="8"/>
    </w:p>
    <w:tbl>
      <w:tblPr>
        <w:tblW w:w="9709" w:type="dxa"/>
        <w:jc w:val="center"/>
        <w:tblLayout w:type="fixed"/>
        <w:tblLook w:val="0000" w:firstRow="0" w:lastRow="0" w:firstColumn="0" w:lastColumn="0" w:noHBand="0" w:noVBand="0"/>
      </w:tblPr>
      <w:tblGrid>
        <w:gridCol w:w="2656"/>
        <w:gridCol w:w="7053"/>
      </w:tblGrid>
      <w:tr>
        <w:trPr>
          <w:jc w:val="center"/>
        </w:trPr>
        <w:tc>
          <w:tcPr>
            <w:tcW w:w="9709" w:type="dxa"/>
            <w:gridSpan w:val="2"/>
            <w:vAlign w:val="center"/>
          </w:tcPr>
          <w:p>
            <w:pPr>
              <w:pStyle w:val="Subsecciones"/>
              <w:rPr>
                <w:rFonts w:ascii="Times New Roman" w:hAnsi="Times New Roman"/>
              </w:rPr>
            </w:pPr>
            <w:bookmarkStart w:id="9" w:name="_Toc438438819"/>
            <w:bookmarkStart w:id="10" w:name="_Toc438532553"/>
            <w:bookmarkStart w:id="11" w:name="_Toc438733963"/>
            <w:bookmarkStart w:id="12" w:name="_Toc438962045"/>
            <w:bookmarkStart w:id="13" w:name="_Toc461939616"/>
            <w:bookmarkStart w:id="14" w:name="_Toc97371001"/>
            <w:bookmarkStart w:id="15" w:name="_Toc325723916"/>
            <w:bookmarkStart w:id="16" w:name="_Toc440526009"/>
            <w:bookmarkStart w:id="17" w:name="_Toc435624807"/>
            <w:bookmarkStart w:id="18" w:name="_Toc26891413"/>
            <w:bookmarkStart w:id="19" w:name="_Toc175256872"/>
            <w:r>
              <w:rPr>
                <w:rFonts w:ascii="Times New Roman" w:hAnsi="Times New Roman"/>
              </w:rPr>
              <w:t>Disposiciones General</w:t>
            </w:r>
            <w:bookmarkEnd w:id="9"/>
            <w:bookmarkEnd w:id="10"/>
            <w:bookmarkEnd w:id="11"/>
            <w:bookmarkEnd w:id="12"/>
            <w:bookmarkEnd w:id="13"/>
            <w:bookmarkEnd w:id="14"/>
            <w:bookmarkEnd w:id="15"/>
            <w:bookmarkEnd w:id="16"/>
            <w:bookmarkEnd w:id="17"/>
            <w:r>
              <w:rPr>
                <w:rFonts w:ascii="Times New Roman" w:hAnsi="Times New Roman"/>
              </w:rPr>
              <w:t>es</w:t>
            </w:r>
            <w:bookmarkEnd w:id="18"/>
            <w:bookmarkEnd w:id="19"/>
          </w:p>
        </w:tc>
      </w:tr>
      <w:tr>
        <w:trPr>
          <w:trHeight w:val="2133"/>
          <w:jc w:val="center"/>
        </w:trPr>
        <w:tc>
          <w:tcPr>
            <w:tcW w:w="2656" w:type="dxa"/>
          </w:tcPr>
          <w:p>
            <w:pPr>
              <w:pStyle w:val="IAOs"/>
              <w:rPr>
                <w:rFonts w:ascii="Times New Roman" w:hAnsi="Times New Roman"/>
              </w:rPr>
            </w:pPr>
            <w:bookmarkStart w:id="20" w:name="_Toc115773976"/>
            <w:bookmarkStart w:id="21" w:name="_Toc169805065"/>
            <w:bookmarkStart w:id="22" w:name="_Toc169819263"/>
            <w:bookmarkStart w:id="23" w:name="_Toc175256873"/>
            <w:r>
              <w:rPr>
                <w:rFonts w:ascii="Times New Roman" w:hAnsi="Times New Roman"/>
              </w:rPr>
              <w:t>Alcance de la licitación</w:t>
            </w:r>
            <w:bookmarkEnd w:id="20"/>
            <w:bookmarkEnd w:id="21"/>
            <w:bookmarkEnd w:id="22"/>
            <w:bookmarkEnd w:id="23"/>
          </w:p>
        </w:tc>
        <w:tc>
          <w:tcPr>
            <w:tcW w:w="7053" w:type="dxa"/>
          </w:tcPr>
          <w:p>
            <w:pPr>
              <w:pStyle w:val="Header2-SubClauses"/>
              <w:tabs>
                <w:tab w:val="clear" w:pos="2844"/>
              </w:tabs>
              <w:ind w:left="511" w:hanging="443"/>
              <w:rPr>
                <w:rFonts w:cs="Times New Roman"/>
                <w:sz w:val="22"/>
                <w:szCs w:val="22"/>
                <w:lang w:val="es-ES"/>
              </w:rPr>
            </w:pPr>
            <w:r>
              <w:rPr>
                <w:rFonts w:cs="Times New Roman"/>
                <w:color w:val="000000"/>
                <w:spacing w:val="-3"/>
                <w:sz w:val="22"/>
                <w:szCs w:val="22"/>
                <w:lang w:val="es-ES"/>
              </w:rPr>
              <w:t xml:space="preserve">El Comprador indicado en los Datos de la Licitación (DDL) emite este documento de licitación para la adquisición (o para el arrendamiento de bienes con opción de compra si así se especifica </w:t>
            </w:r>
            <w:r>
              <w:rPr>
                <w:rFonts w:cs="Times New Roman"/>
                <w:b/>
                <w:bCs/>
                <w:color w:val="000000"/>
                <w:spacing w:val="-3"/>
                <w:sz w:val="22"/>
                <w:szCs w:val="22"/>
                <w:lang w:val="es-ES"/>
              </w:rPr>
              <w:t>en los DDL)</w:t>
            </w:r>
            <w:r>
              <w:rPr>
                <w:rFonts w:cs="Times New Roman"/>
                <w:color w:val="000000"/>
                <w:spacing w:val="-3"/>
                <w:sz w:val="22"/>
                <w:szCs w:val="22"/>
                <w:lang w:val="es-ES"/>
              </w:rPr>
              <w:t xml:space="preserve"> de los Bienes y Servicios Conexos especificados en la Sección VI, </w:t>
            </w:r>
            <w:r>
              <w:rPr>
                <w:rFonts w:cs="Times New Roman"/>
                <w:sz w:val="22"/>
                <w:szCs w:val="22"/>
                <w:lang w:val="es-ES"/>
              </w:rPr>
              <w:t>“</w:t>
            </w:r>
            <w:r>
              <w:rPr>
                <w:rFonts w:cs="Times New Roman"/>
                <w:color w:val="000000"/>
                <w:spacing w:val="-3"/>
                <w:sz w:val="22"/>
                <w:szCs w:val="22"/>
                <w:lang w:val="es-ES"/>
              </w:rPr>
              <w:t>Requisitos de los Bienes y Servicios Conexos</w:t>
            </w:r>
            <w:r>
              <w:rPr>
                <w:rFonts w:cs="Times New Roman"/>
                <w:sz w:val="22"/>
                <w:szCs w:val="22"/>
                <w:lang w:val="es-ES"/>
              </w:rPr>
              <w:t>”</w:t>
            </w:r>
            <w:r>
              <w:rPr>
                <w:rFonts w:cs="Times New Roman"/>
                <w:color w:val="000000"/>
                <w:spacing w:val="-3"/>
                <w:sz w:val="22"/>
                <w:szCs w:val="22"/>
                <w:lang w:val="es-ES"/>
              </w:rPr>
              <w:t xml:space="preserve">. El nombre y número de identificación de esta Solicitud de Ofertas mediante Comparación de Precios están especificados </w:t>
            </w:r>
            <w:r>
              <w:rPr>
                <w:rFonts w:cs="Times New Roman"/>
                <w:b/>
                <w:bCs/>
                <w:color w:val="000000"/>
                <w:spacing w:val="-3"/>
                <w:sz w:val="22"/>
                <w:szCs w:val="22"/>
                <w:lang w:val="es-ES"/>
              </w:rPr>
              <w:t>en los DDL</w:t>
            </w:r>
            <w:r>
              <w:rPr>
                <w:rFonts w:cs="Times New Roman"/>
                <w:color w:val="000000"/>
                <w:spacing w:val="-3"/>
                <w:sz w:val="22"/>
                <w:szCs w:val="22"/>
                <w:lang w:val="es-ES"/>
              </w:rPr>
              <w:t xml:space="preserve">. El nombre, identificación y número de lotes están indicados </w:t>
            </w:r>
            <w:r>
              <w:rPr>
                <w:rFonts w:cs="Times New Roman"/>
                <w:b/>
                <w:bCs/>
                <w:color w:val="000000"/>
                <w:spacing w:val="-3"/>
                <w:sz w:val="22"/>
                <w:szCs w:val="22"/>
                <w:lang w:val="es-ES"/>
              </w:rPr>
              <w:t>en los DDL</w:t>
            </w:r>
            <w:r>
              <w:rPr>
                <w:rFonts w:cs="Times New Roman"/>
                <w:color w:val="000000"/>
                <w:spacing w:val="-3"/>
                <w:sz w:val="22"/>
                <w:szCs w:val="22"/>
                <w:lang w:val="es-ES"/>
              </w:rPr>
              <w:t>.</w:t>
            </w:r>
            <w:r>
              <w:rPr>
                <w:rFonts w:cs="Times New Roman"/>
                <w:sz w:val="22"/>
                <w:szCs w:val="22"/>
                <w:lang w:val="es-ES"/>
              </w:rPr>
              <w:t xml:space="preserve"> </w:t>
            </w:r>
          </w:p>
        </w:tc>
      </w:tr>
      <w:tr>
        <w:trPr>
          <w:jc w:val="center"/>
        </w:trPr>
        <w:tc>
          <w:tcPr>
            <w:tcW w:w="2656" w:type="dxa"/>
          </w:tcPr>
          <w:p>
            <w:pPr>
              <w:pStyle w:val="IAOs"/>
              <w:numPr>
                <w:ilvl w:val="0"/>
                <w:numId w:val="0"/>
              </w:numPr>
              <w:ind w:left="432"/>
              <w:rPr>
                <w:rFonts w:ascii="Times New Roman" w:hAnsi="Times New Roman"/>
              </w:rPr>
            </w:pPr>
          </w:p>
        </w:tc>
        <w:tc>
          <w:tcPr>
            <w:tcW w:w="7053" w:type="dxa"/>
          </w:tcPr>
          <w:p>
            <w:pPr>
              <w:pStyle w:val="Header2-SubClauses"/>
              <w:tabs>
                <w:tab w:val="clear" w:pos="2844"/>
              </w:tabs>
              <w:ind w:left="511" w:hanging="443"/>
              <w:rPr>
                <w:rFonts w:cs="Times New Roman"/>
                <w:sz w:val="22"/>
                <w:szCs w:val="22"/>
                <w:lang w:val="es-ES"/>
              </w:rPr>
            </w:pPr>
            <w:r>
              <w:rPr>
                <w:rFonts w:cs="Times New Roman"/>
                <w:color w:val="000000"/>
                <w:spacing w:val="-3"/>
                <w:sz w:val="22"/>
                <w:szCs w:val="22"/>
                <w:lang w:val="es-ES"/>
              </w:rPr>
              <w:t xml:space="preserve">Para todos los efectos de este documento de licitación: </w:t>
            </w:r>
          </w:p>
          <w:p>
            <w:pPr>
              <w:pStyle w:val="P3Header1-Clauses"/>
              <w:rPr>
                <w:b/>
                <w:sz w:val="22"/>
                <w:szCs w:val="22"/>
                <w:lang w:val="es-ES"/>
              </w:rPr>
            </w:pPr>
            <w:r>
              <w:rPr>
                <w:sz w:val="22"/>
                <w:szCs w:val="22"/>
                <w:lang w:val="es-ES"/>
              </w:rPr>
              <w:t>por el término “por escrito” se entiende comunicado de manera escrita (por ejemplo, por correo postal, correo electrónico, e incluso, si así se especifica en la IAO 1.3, distribuido o recibido a través del sistema electrónico de adquisiciones utilizado por el Comprador), con prueba de recibo;</w:t>
            </w:r>
          </w:p>
          <w:p>
            <w:pPr>
              <w:pStyle w:val="P3Header1-Clauses"/>
              <w:rPr>
                <w:sz w:val="22"/>
                <w:szCs w:val="22"/>
                <w:lang w:val="es-ES"/>
              </w:rPr>
            </w:pPr>
            <w:r>
              <w:rPr>
                <w:sz w:val="22"/>
                <w:szCs w:val="22"/>
                <w:lang w:val="es-ES"/>
              </w:rPr>
              <w:t>salvo en los casos en que el contexto requiera otra cosa, las palabras en singular también incluyen el plural y las palabras en plural también incluyen el singular; y,</w:t>
            </w:r>
          </w:p>
          <w:p>
            <w:pPr>
              <w:pStyle w:val="P3Header1-Clauses"/>
              <w:rPr>
                <w:sz w:val="22"/>
                <w:szCs w:val="22"/>
                <w:lang w:val="es-ES"/>
              </w:rPr>
            </w:pPr>
            <w:r>
              <w:rPr>
                <w:sz w:val="22"/>
                <w:szCs w:val="22"/>
                <w:lang w:val="es-ES"/>
              </w:rPr>
              <w:t>la palabra “día” significa día calendario.</w:t>
            </w:r>
          </w:p>
          <w:p>
            <w:pPr>
              <w:pStyle w:val="Header2-SubClauses"/>
              <w:tabs>
                <w:tab w:val="clear" w:pos="2844"/>
              </w:tabs>
              <w:ind w:left="511" w:hanging="443"/>
              <w:rPr>
                <w:rFonts w:cs="Times New Roman"/>
                <w:sz w:val="22"/>
                <w:szCs w:val="22"/>
                <w:lang w:val="es-ES"/>
              </w:rPr>
            </w:pPr>
            <w:r>
              <w:rPr>
                <w:rFonts w:cs="Times New Roman"/>
                <w:color w:val="000000"/>
                <w:spacing w:val="-3"/>
                <w:sz w:val="22"/>
                <w:szCs w:val="22"/>
                <w:lang w:val="es-ES"/>
              </w:rPr>
              <w:t xml:space="preserve">Si se especifica </w:t>
            </w:r>
            <w:r>
              <w:rPr>
                <w:rFonts w:cs="Times New Roman"/>
                <w:b/>
                <w:color w:val="000000"/>
                <w:spacing w:val="-3"/>
                <w:sz w:val="22"/>
                <w:szCs w:val="22"/>
                <w:lang w:val="es-ES"/>
              </w:rPr>
              <w:t>en los DDL</w:t>
            </w:r>
            <w:r>
              <w:rPr>
                <w:rFonts w:cs="Times New Roman"/>
                <w:color w:val="000000"/>
                <w:spacing w:val="-3"/>
                <w:sz w:val="22"/>
                <w:szCs w:val="22"/>
                <w:lang w:val="es-ES"/>
              </w:rPr>
              <w:t xml:space="preserve">, el Comprador tiene la intención de usar el sistema electrónico de adquisiciones, indicado </w:t>
            </w:r>
            <w:r>
              <w:rPr>
                <w:rFonts w:cs="Times New Roman"/>
                <w:b/>
                <w:color w:val="000000"/>
                <w:spacing w:val="-3"/>
                <w:sz w:val="22"/>
                <w:szCs w:val="22"/>
                <w:lang w:val="es-ES"/>
              </w:rPr>
              <w:t>en los DDL</w:t>
            </w:r>
            <w:r>
              <w:rPr>
                <w:rFonts w:cs="Times New Roman"/>
                <w:color w:val="000000"/>
                <w:spacing w:val="-3"/>
                <w:sz w:val="22"/>
                <w:szCs w:val="22"/>
                <w:lang w:val="es-ES"/>
              </w:rPr>
              <w:t xml:space="preserve"> y que será utilizado para gestionar los aspectos de la licitación indicados </w:t>
            </w:r>
            <w:r>
              <w:rPr>
                <w:rFonts w:cs="Times New Roman"/>
                <w:b/>
                <w:color w:val="000000"/>
                <w:spacing w:val="-3"/>
                <w:sz w:val="22"/>
                <w:szCs w:val="22"/>
                <w:lang w:val="es-ES"/>
              </w:rPr>
              <w:t>en los DDL</w:t>
            </w:r>
            <w:r>
              <w:rPr>
                <w:rStyle w:val="Refdenotaalpie"/>
                <w:rFonts w:cs="Times New Roman"/>
                <w:b/>
                <w:color w:val="000000"/>
                <w:spacing w:val="-3"/>
                <w:sz w:val="22"/>
                <w:szCs w:val="22"/>
                <w:lang w:val="es-ES"/>
              </w:rPr>
              <w:footnoteReference w:id="2"/>
            </w:r>
            <w:r>
              <w:rPr>
                <w:rFonts w:cs="Times New Roman"/>
                <w:color w:val="000000"/>
                <w:spacing w:val="-3"/>
                <w:sz w:val="22"/>
                <w:szCs w:val="22"/>
                <w:lang w:val="es-ES"/>
              </w:rPr>
              <w:t>.</w:t>
            </w:r>
          </w:p>
          <w:p>
            <w:pPr>
              <w:pStyle w:val="Header2-SubClauses"/>
              <w:tabs>
                <w:tab w:val="clear" w:pos="2844"/>
              </w:tabs>
              <w:ind w:left="511" w:hanging="443"/>
              <w:rPr>
                <w:rFonts w:cs="Times New Roman"/>
                <w:sz w:val="22"/>
                <w:szCs w:val="22"/>
                <w:lang w:val="es-ES"/>
              </w:rPr>
            </w:pPr>
            <w:r>
              <w:rPr>
                <w:rFonts w:cs="Times New Roman"/>
                <w:color w:val="000000"/>
                <w:spacing w:val="-3"/>
                <w:sz w:val="22"/>
                <w:szCs w:val="22"/>
                <w:lang w:val="es-ES"/>
              </w:rPr>
              <w:t xml:space="preserve">Si se especifica </w:t>
            </w:r>
            <w:r>
              <w:rPr>
                <w:rFonts w:cs="Times New Roman"/>
                <w:b/>
                <w:bCs/>
                <w:color w:val="000000"/>
                <w:spacing w:val="-3"/>
                <w:sz w:val="22"/>
                <w:szCs w:val="22"/>
                <w:lang w:val="es-ES"/>
              </w:rPr>
              <w:t>en los DDL</w:t>
            </w:r>
            <w:r>
              <w:rPr>
                <w:rFonts w:cs="Times New Roman"/>
                <w:color w:val="000000"/>
                <w:spacing w:val="-3"/>
                <w:sz w:val="22"/>
                <w:szCs w:val="22"/>
                <w:lang w:val="es-ES"/>
              </w:rPr>
              <w:t>, este documento se podrá utilizar para adquirir bienes de segunda mano, pero no se podrá combinar con la adquisición de bienes nuevos.</w:t>
            </w:r>
          </w:p>
        </w:tc>
      </w:tr>
      <w:tr>
        <w:trPr>
          <w:jc w:val="center"/>
        </w:trPr>
        <w:tc>
          <w:tcPr>
            <w:tcW w:w="2656" w:type="dxa"/>
          </w:tcPr>
          <w:p>
            <w:pPr>
              <w:pStyle w:val="IAOs"/>
              <w:rPr>
                <w:rFonts w:ascii="Times New Roman" w:hAnsi="Times New Roman"/>
              </w:rPr>
            </w:pPr>
            <w:bookmarkStart w:id="24" w:name="_Toc438530847"/>
            <w:bookmarkStart w:id="25" w:name="_Toc438532555"/>
            <w:bookmarkStart w:id="26" w:name="_Toc175256874"/>
            <w:bookmarkStart w:id="27" w:name="_Toc26891416"/>
            <w:bookmarkEnd w:id="24"/>
            <w:bookmarkEnd w:id="25"/>
            <w:r>
              <w:rPr>
                <w:rFonts w:ascii="Times New Roman" w:hAnsi="Times New Roman"/>
              </w:rPr>
              <w:t>Fuente de Financiamiento</w:t>
            </w:r>
            <w:bookmarkEnd w:id="26"/>
            <w:r>
              <w:rPr>
                <w:rFonts w:ascii="Times New Roman" w:hAnsi="Times New Roman"/>
              </w:rPr>
              <w:t xml:space="preserve"> </w:t>
            </w:r>
            <w:bookmarkEnd w:id="27"/>
          </w:p>
        </w:tc>
        <w:tc>
          <w:tcPr>
            <w:tcW w:w="7053" w:type="dxa"/>
          </w:tcPr>
          <w:p>
            <w:pPr>
              <w:pStyle w:val="Header2-SubClauses"/>
              <w:tabs>
                <w:tab w:val="clear" w:pos="2844"/>
              </w:tabs>
              <w:ind w:left="511" w:hanging="443"/>
              <w:rPr>
                <w:rFonts w:cs="Times New Roman"/>
                <w:sz w:val="22"/>
                <w:szCs w:val="22"/>
                <w:lang w:val="es-ES"/>
              </w:rPr>
            </w:pPr>
            <w:r>
              <w:rPr>
                <w:rFonts w:cs="Times New Roman"/>
                <w:color w:val="000000"/>
                <w:sz w:val="22"/>
                <w:szCs w:val="22"/>
                <w:lang w:val="es-ES"/>
              </w:rPr>
              <w:t xml:space="preserve">El Prestatario </w:t>
            </w:r>
            <w:r>
              <w:rPr>
                <w:rFonts w:cs="Times New Roman"/>
                <w:bCs/>
                <w:color w:val="000000"/>
                <w:sz w:val="22"/>
                <w:szCs w:val="22"/>
                <w:lang w:val="es-ES"/>
              </w:rPr>
              <w:t>indicado en</w:t>
            </w:r>
            <w:r>
              <w:rPr>
                <w:rFonts w:cs="Times New Roman"/>
                <w:b/>
                <w:bCs/>
                <w:color w:val="000000"/>
                <w:sz w:val="22"/>
                <w:szCs w:val="22"/>
                <w:lang w:val="es-ES"/>
              </w:rPr>
              <w:t xml:space="preserve"> los DDL </w:t>
            </w:r>
            <w:r>
              <w:rPr>
                <w:rFonts w:cs="Times New Roman"/>
                <w:color w:val="000000"/>
                <w:sz w:val="22"/>
                <w:szCs w:val="22"/>
                <w:lang w:val="es-ES"/>
              </w:rPr>
              <w:t xml:space="preserve">ha solicitado o recibido financiamiento (en adelante denominados “fondos”) del Banco Interamericano de Desarrollo (en adelante denominado "el BID" o “el Banco”) para sufragar en parte el costo del proyecto </w:t>
            </w:r>
            <w:r>
              <w:rPr>
                <w:rFonts w:cs="Times New Roman"/>
                <w:bCs/>
                <w:color w:val="000000"/>
                <w:sz w:val="22"/>
                <w:szCs w:val="22"/>
                <w:lang w:val="es-ES"/>
              </w:rPr>
              <w:t>especificado en</w:t>
            </w:r>
            <w:r>
              <w:rPr>
                <w:rFonts w:cs="Times New Roman"/>
                <w:b/>
                <w:bCs/>
                <w:color w:val="000000"/>
                <w:sz w:val="22"/>
                <w:szCs w:val="22"/>
                <w:lang w:val="es-ES"/>
              </w:rPr>
              <w:t xml:space="preserve"> los DDL</w:t>
            </w:r>
            <w:r>
              <w:rPr>
                <w:rFonts w:cs="Times New Roman"/>
                <w:color w:val="000000"/>
                <w:sz w:val="22"/>
                <w:szCs w:val="22"/>
                <w:lang w:val="es-ES"/>
              </w:rPr>
              <w:t>. El Prestatario destinará una porción de dichos recursos para efectuar pagos elegibles en virtud del contrato o los contratos para el cual o los cuales se emite el presente documento de licitación.</w:t>
            </w:r>
          </w:p>
        </w:tc>
      </w:tr>
      <w:tr>
        <w:trPr>
          <w:jc w:val="center"/>
        </w:trPr>
        <w:tc>
          <w:tcPr>
            <w:tcW w:w="2656" w:type="dxa"/>
          </w:tcPr>
          <w:p>
            <w:pPr>
              <w:pStyle w:val="IAOs"/>
              <w:numPr>
                <w:ilvl w:val="0"/>
                <w:numId w:val="0"/>
              </w:numPr>
              <w:ind w:left="432"/>
              <w:rPr>
                <w:rFonts w:ascii="Times New Roman" w:hAnsi="Times New Roman"/>
              </w:rPr>
            </w:pPr>
            <w:bookmarkStart w:id="28" w:name="_Toc438532557"/>
            <w:bookmarkEnd w:id="28"/>
          </w:p>
        </w:tc>
        <w:tc>
          <w:tcPr>
            <w:tcW w:w="7053" w:type="dxa"/>
          </w:tcPr>
          <w:p>
            <w:pPr>
              <w:pStyle w:val="Header2-SubClauses"/>
              <w:tabs>
                <w:tab w:val="clear" w:pos="2844"/>
              </w:tabs>
              <w:ind w:left="511" w:hanging="443"/>
              <w:rPr>
                <w:rFonts w:cs="Times New Roman"/>
                <w:i/>
                <w:iCs/>
                <w:sz w:val="22"/>
                <w:szCs w:val="22"/>
                <w:lang w:val="es-ES"/>
              </w:rPr>
            </w:pPr>
            <w:r>
              <w:rPr>
                <w:rFonts w:cs="Times New Roman"/>
                <w:color w:val="000000"/>
                <w:sz w:val="22"/>
                <w:szCs w:val="22"/>
                <w:lang w:val="es-ES"/>
              </w:rPr>
              <w:t xml:space="preserve">El </w:t>
            </w:r>
            <w:r>
              <w:rPr>
                <w:rFonts w:cs="Times New Roman"/>
                <w:color w:val="000000"/>
                <w:spacing w:val="-3"/>
                <w:sz w:val="22"/>
                <w:szCs w:val="22"/>
                <w:lang w:val="es-ES"/>
              </w:rPr>
              <w:t xml:space="preserve">Banco efectuará pagos solamente a pedido del Prestatario y una vez que el Banco los haya aprobado de conformidad con las estipulaciones </w:t>
            </w:r>
            <w:r>
              <w:rPr>
                <w:rFonts w:cs="Times New Roman"/>
                <w:color w:val="000000"/>
                <w:sz w:val="22"/>
                <w:szCs w:val="22"/>
                <w:lang w:val="es-ES"/>
              </w:rPr>
              <w:t xml:space="preserve">establecidas en el acuerdo financiero entre el Prestatario y el Banco (en adelante denominado “el Contrato de Préstamo”). </w:t>
            </w:r>
            <w:r>
              <w:rPr>
                <w:rFonts w:cs="Times New Roman"/>
                <w:color w:val="000000"/>
                <w:spacing w:val="-3"/>
                <w:sz w:val="22"/>
                <w:szCs w:val="22"/>
                <w:lang w:val="es-ES"/>
              </w:rPr>
              <w:t>Dichos pagos se ajustarán en todos sus aspectos a las condiciones de dicho</w:t>
            </w:r>
            <w:r>
              <w:rPr>
                <w:rFonts w:cs="Times New Roman"/>
                <w:color w:val="000000"/>
                <w:sz w:val="22"/>
                <w:szCs w:val="22"/>
                <w:lang w:val="es-ES"/>
              </w:rPr>
              <w:t xml:space="preserve"> Contrato de Préstamo.</w:t>
            </w:r>
            <w:r>
              <w:rPr>
                <w:rFonts w:cs="Times New Roman"/>
                <w:color w:val="000000"/>
                <w:spacing w:val="-3"/>
                <w:sz w:val="22"/>
                <w:szCs w:val="22"/>
                <w:lang w:val="es-ES"/>
              </w:rPr>
              <w:t xml:space="preserve"> Nadie más que el Prestatario podrá tener derecho alguno en </w:t>
            </w:r>
            <w:r>
              <w:rPr>
                <w:rFonts w:cs="Times New Roman"/>
                <w:color w:val="000000"/>
                <w:spacing w:val="-3"/>
                <w:sz w:val="22"/>
                <w:szCs w:val="22"/>
                <w:lang w:val="es-ES"/>
              </w:rPr>
              <w:lastRenderedPageBreak/>
              <w:t>virtud del Contrato de Préstamo ni tendrá ningún derecho a los fondos del financiamiento.</w:t>
            </w:r>
          </w:p>
        </w:tc>
      </w:tr>
      <w:tr>
        <w:trPr>
          <w:jc w:val="center"/>
        </w:trPr>
        <w:tc>
          <w:tcPr>
            <w:tcW w:w="2656" w:type="dxa"/>
          </w:tcPr>
          <w:p>
            <w:pPr>
              <w:pStyle w:val="IAOs"/>
              <w:rPr>
                <w:rFonts w:ascii="Times New Roman" w:hAnsi="Times New Roman"/>
              </w:rPr>
            </w:pPr>
            <w:bookmarkStart w:id="29" w:name="_Toc438532558"/>
            <w:bookmarkStart w:id="30" w:name="_Toc438002631"/>
            <w:bookmarkEnd w:id="29"/>
            <w:r>
              <w:rPr>
                <w:rFonts w:ascii="Times New Roman" w:hAnsi="Times New Roman"/>
              </w:rPr>
              <w:lastRenderedPageBreak/>
              <w:br w:type="page"/>
            </w:r>
            <w:bookmarkStart w:id="31" w:name="_Toc175256875"/>
            <w:bookmarkEnd w:id="30"/>
            <w:r>
              <w:rPr>
                <w:rFonts w:ascii="Times New Roman" w:hAnsi="Times New Roman"/>
              </w:rPr>
              <w:t>Prácticas Prohibidas</w:t>
            </w:r>
            <w:bookmarkEnd w:id="31"/>
          </w:p>
        </w:tc>
        <w:tc>
          <w:tcPr>
            <w:tcW w:w="7053" w:type="dxa"/>
          </w:tcPr>
          <w:p>
            <w:pPr>
              <w:pStyle w:val="Prrafodelista"/>
              <w:numPr>
                <w:ilvl w:val="0"/>
                <w:numId w:val="166"/>
              </w:numPr>
              <w:ind w:left="495" w:hanging="426"/>
              <w:jc w:val="both"/>
              <w:rPr>
                <w:sz w:val="22"/>
                <w:szCs w:val="22"/>
                <w:lang w:val="es-ES"/>
              </w:rPr>
            </w:pPr>
            <w:r>
              <w:rPr>
                <w:sz w:val="22"/>
                <w:szCs w:val="22"/>
                <w:lang w:val="es-ES"/>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Pr>
                <w:sz w:val="22"/>
                <w:szCs w:val="22"/>
                <w:vertAlign w:val="superscript"/>
                <w:lang w:val="es-ES"/>
              </w:rPr>
              <w:footnoteReference w:id="3"/>
            </w:r>
            <w:r>
              <w:rPr>
                <w:sz w:val="22"/>
                <w:szCs w:val="22"/>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pPr>
              <w:tabs>
                <w:tab w:val="num" w:pos="1872"/>
              </w:tabs>
              <w:jc w:val="both"/>
              <w:rPr>
                <w:bCs/>
                <w:color w:val="000000"/>
                <w:sz w:val="22"/>
                <w:szCs w:val="22"/>
                <w:lang w:val="es-ES"/>
              </w:rPr>
            </w:pPr>
          </w:p>
          <w:p>
            <w:pPr>
              <w:pStyle w:val="Prrafodelista"/>
              <w:numPr>
                <w:ilvl w:val="0"/>
                <w:numId w:val="165"/>
              </w:numPr>
              <w:ind w:left="926" w:hanging="425"/>
              <w:rPr>
                <w:sz w:val="22"/>
                <w:szCs w:val="22"/>
                <w:lang w:val="es-ES"/>
              </w:rPr>
            </w:pPr>
            <w:r>
              <w:rPr>
                <w:sz w:val="22"/>
                <w:szCs w:val="22"/>
                <w:lang w:val="es-ES"/>
              </w:rPr>
              <w:t xml:space="preserve">A los efectos de esta disposición, las definiciones de las Prácticas Prohibidas son las siguientes </w:t>
            </w:r>
          </w:p>
          <w:p>
            <w:pPr>
              <w:pStyle w:val="Sangra3detindependiente"/>
              <w:numPr>
                <w:ilvl w:val="0"/>
                <w:numId w:val="173"/>
              </w:numPr>
              <w:spacing w:before="240" w:after="60"/>
              <w:ind w:left="1351"/>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 xml:space="preserve">Una </w:t>
            </w:r>
            <w:r>
              <w:rPr>
                <w:rFonts w:ascii="Times New Roman" w:hAnsi="Times New Roman" w:cs="Times New Roman"/>
                <w:bCs/>
                <w:i/>
                <w:iCs/>
                <w:color w:val="000000"/>
                <w:sz w:val="22"/>
                <w:szCs w:val="22"/>
                <w:lang w:val="es-ES"/>
              </w:rPr>
              <w:t>práctica corrupta</w:t>
            </w:r>
            <w:r>
              <w:rPr>
                <w:rFonts w:ascii="Times New Roman" w:hAnsi="Times New Roman" w:cs="Times New Roman"/>
                <w:bCs/>
                <w:color w:val="000000"/>
                <w:sz w:val="22"/>
                <w:szCs w:val="22"/>
                <w:lang w:val="es-ES"/>
              </w:rPr>
              <w:t xml:space="preserve"> consiste en ofrecer, dar, recibir o solicitar, directa o indirectamente, cualquier cosa de valor para influenciar indebidamente las acciones de otra parte;</w:t>
            </w:r>
          </w:p>
          <w:p>
            <w:pPr>
              <w:pStyle w:val="Sangra3detindependiente"/>
              <w:numPr>
                <w:ilvl w:val="0"/>
                <w:numId w:val="173"/>
              </w:numPr>
              <w:spacing w:before="240" w:after="60"/>
              <w:ind w:left="1351"/>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 xml:space="preserve">Una </w:t>
            </w:r>
            <w:r>
              <w:rPr>
                <w:rFonts w:ascii="Times New Roman" w:hAnsi="Times New Roman" w:cs="Times New Roman"/>
                <w:bCs/>
                <w:i/>
                <w:iCs/>
                <w:color w:val="000000"/>
                <w:sz w:val="22"/>
                <w:szCs w:val="22"/>
                <w:lang w:val="es-ES"/>
              </w:rPr>
              <w:t>práctica fraudulenta</w:t>
            </w:r>
            <w:r>
              <w:rPr>
                <w:rFonts w:ascii="Times New Roman" w:hAnsi="Times New Roman" w:cs="Times New Roman"/>
                <w:bCs/>
                <w:color w:val="000000"/>
                <w:sz w:val="22"/>
                <w:szCs w:val="22"/>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pPr>
              <w:pStyle w:val="Sangra3detindependiente"/>
              <w:numPr>
                <w:ilvl w:val="0"/>
                <w:numId w:val="173"/>
              </w:numPr>
              <w:spacing w:before="240" w:after="60"/>
              <w:ind w:left="1351"/>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 xml:space="preserve">Una </w:t>
            </w:r>
            <w:r>
              <w:rPr>
                <w:rFonts w:ascii="Times New Roman" w:hAnsi="Times New Roman" w:cs="Times New Roman"/>
                <w:bCs/>
                <w:i/>
                <w:iCs/>
                <w:color w:val="000000"/>
                <w:sz w:val="22"/>
                <w:szCs w:val="22"/>
                <w:lang w:val="es-ES"/>
              </w:rPr>
              <w:t>práctica coercitiva</w:t>
            </w:r>
            <w:r>
              <w:rPr>
                <w:rFonts w:ascii="Times New Roman" w:hAnsi="Times New Roman" w:cs="Times New Roman"/>
                <w:bCs/>
                <w:color w:val="000000"/>
                <w:sz w:val="22"/>
                <w:szCs w:val="22"/>
                <w:lang w:val="es-ES"/>
              </w:rPr>
              <w:t xml:space="preserve"> consiste en perjudicar o causar daño, o amenazar con perjudicar o causar daño, directa o indirectamente, a cualquier parte o a sus bienes para influenciar indebidamente las acciones de una parte;</w:t>
            </w:r>
          </w:p>
          <w:p>
            <w:pPr>
              <w:pStyle w:val="Sangra3detindependiente"/>
              <w:numPr>
                <w:ilvl w:val="0"/>
                <w:numId w:val="173"/>
              </w:numPr>
              <w:spacing w:before="240" w:after="60"/>
              <w:ind w:left="1351"/>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 xml:space="preserve">Una </w:t>
            </w:r>
            <w:r>
              <w:rPr>
                <w:rFonts w:ascii="Times New Roman" w:hAnsi="Times New Roman" w:cs="Times New Roman"/>
                <w:bCs/>
                <w:i/>
                <w:iCs/>
                <w:color w:val="000000"/>
                <w:sz w:val="22"/>
                <w:szCs w:val="22"/>
                <w:lang w:val="es-ES"/>
              </w:rPr>
              <w:t>práctica colusoria</w:t>
            </w:r>
            <w:r>
              <w:rPr>
                <w:rFonts w:ascii="Times New Roman" w:hAnsi="Times New Roman" w:cs="Times New Roman"/>
                <w:bCs/>
                <w:color w:val="000000"/>
                <w:sz w:val="22"/>
                <w:szCs w:val="22"/>
                <w:lang w:val="es-ES"/>
              </w:rPr>
              <w:t xml:space="preserve"> es un acuerdo entre dos o más partes realizado con la intención de alcanzar un propósito inapropiado, lo que incluye influenciar en forma inapropiada las acciones de otra parte; y</w:t>
            </w:r>
          </w:p>
          <w:p>
            <w:pPr>
              <w:pStyle w:val="Sangra3detindependiente"/>
              <w:numPr>
                <w:ilvl w:val="0"/>
                <w:numId w:val="173"/>
              </w:numPr>
              <w:spacing w:before="240" w:after="60"/>
              <w:ind w:left="1351"/>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 xml:space="preserve">Una </w:t>
            </w:r>
            <w:r>
              <w:rPr>
                <w:rFonts w:ascii="Times New Roman" w:hAnsi="Times New Roman" w:cs="Times New Roman"/>
                <w:bCs/>
                <w:i/>
                <w:iCs/>
                <w:color w:val="000000"/>
                <w:sz w:val="22"/>
                <w:szCs w:val="22"/>
                <w:lang w:val="es-ES"/>
              </w:rPr>
              <w:t>práctica obstructiva</w:t>
            </w:r>
            <w:r>
              <w:rPr>
                <w:rFonts w:ascii="Times New Roman" w:hAnsi="Times New Roman" w:cs="Times New Roman"/>
                <w:bCs/>
                <w:color w:val="000000"/>
                <w:sz w:val="22"/>
                <w:szCs w:val="22"/>
                <w:lang w:val="es-ES"/>
              </w:rPr>
              <w:t xml:space="preserve"> consiste en:</w:t>
            </w:r>
          </w:p>
          <w:p>
            <w:pPr>
              <w:pStyle w:val="Sangra3detindependiente"/>
              <w:numPr>
                <w:ilvl w:val="0"/>
                <w:numId w:val="162"/>
              </w:numPr>
              <w:spacing w:before="240" w:after="60"/>
              <w:ind w:left="1913" w:hanging="113"/>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lastRenderedPageBreak/>
              <w:t xml:space="preserve">destruir, falsificar, alterar u ocultar evidencia significativa para una investigación del Grupo BID, o realizar declaraciones falsas ante los investigadores con la intención de impedir una investigación del Grupo BID; </w:t>
            </w:r>
          </w:p>
          <w:p>
            <w:pPr>
              <w:pStyle w:val="Sangra3detindependiente"/>
              <w:numPr>
                <w:ilvl w:val="0"/>
                <w:numId w:val="162"/>
              </w:numPr>
              <w:spacing w:before="240" w:after="60"/>
              <w:ind w:left="1913" w:hanging="113"/>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 xml:space="preserve">amenazar, hostigar o intimidar a cualquier parte para impedir que divulgue su conocimiento de asuntos que son importantes para una investigación del Grupo BID o que prosiga con la investigación; o </w:t>
            </w:r>
          </w:p>
          <w:p>
            <w:pPr>
              <w:pStyle w:val="Sangra3detindependiente"/>
              <w:numPr>
                <w:ilvl w:val="0"/>
                <w:numId w:val="162"/>
              </w:numPr>
              <w:spacing w:before="240" w:after="60"/>
              <w:ind w:left="1913" w:hanging="113"/>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 xml:space="preserve">actos realizados con la intención de impedir el ejercicio de los derechos contractuales de auditoría e inspección del Grupo BID previstos en el IAO 3.1 (f) de abajo, o sus derechos de acceso a la información; </w:t>
            </w:r>
          </w:p>
          <w:p>
            <w:pPr>
              <w:pStyle w:val="Sangra3detindependiente"/>
              <w:numPr>
                <w:ilvl w:val="0"/>
                <w:numId w:val="173"/>
              </w:numPr>
              <w:spacing w:before="240" w:after="60"/>
              <w:ind w:left="1351"/>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 xml:space="preserve">Una </w:t>
            </w:r>
            <w:r>
              <w:rPr>
                <w:rFonts w:ascii="Times New Roman" w:hAnsi="Times New Roman" w:cs="Times New Roman"/>
                <w:bCs/>
                <w:i/>
                <w:iCs/>
                <w:color w:val="000000"/>
                <w:sz w:val="22"/>
                <w:szCs w:val="22"/>
                <w:lang w:val="es-ES"/>
              </w:rPr>
              <w:t>apropiación indebida</w:t>
            </w:r>
            <w:r>
              <w:rPr>
                <w:rFonts w:ascii="Times New Roman" w:hAnsi="Times New Roman" w:cs="Times New Roman"/>
                <w:bCs/>
                <w:color w:val="000000"/>
                <w:sz w:val="22"/>
                <w:szCs w:val="22"/>
                <w:lang w:val="es-ES"/>
              </w:rPr>
              <w:t xml:space="preserve"> consiste en el uso de fondos o recursos del Grupo BID para un propósito indebido o para un propósito no autorizado, cometido de forma intencional o por negligencia grave.</w:t>
            </w:r>
          </w:p>
          <w:p>
            <w:pPr>
              <w:pStyle w:val="Sangra3detindependiente"/>
              <w:spacing w:before="240" w:after="60"/>
              <w:ind w:left="1629" w:hanging="387"/>
              <w:jc w:val="both"/>
              <w:outlineLvl w:val="7"/>
              <w:rPr>
                <w:rFonts w:ascii="Times New Roman" w:hAnsi="Times New Roman" w:cs="Times New Roman"/>
                <w:bCs/>
                <w:color w:val="000000"/>
                <w:sz w:val="22"/>
                <w:szCs w:val="22"/>
                <w:lang w:val="es-ES"/>
              </w:rPr>
            </w:pPr>
          </w:p>
          <w:p>
            <w:pPr>
              <w:pStyle w:val="Prrafodelista"/>
              <w:numPr>
                <w:ilvl w:val="0"/>
                <w:numId w:val="165"/>
              </w:numPr>
              <w:ind w:left="926"/>
              <w:jc w:val="both"/>
              <w:rPr>
                <w:bCs/>
                <w:color w:val="000000"/>
                <w:sz w:val="22"/>
                <w:szCs w:val="22"/>
                <w:lang w:val="es-ES"/>
              </w:rPr>
            </w:pPr>
            <w:r>
              <w:rPr>
                <w:bCs/>
                <w:color w:val="000000"/>
                <w:sz w:val="22"/>
                <w:szCs w:val="22"/>
                <w:lang w:val="es-ES"/>
              </w:rPr>
              <w:t xml:space="preserve">Si se determina que, de conformidad con los Procedimientos de Sanciones del Banco, que los Prestatarios (incluyendo los beneficiarios de donaciones), organismos ejecutores y organismos Compradores incluyendo miembros de su personal, </w:t>
            </w:r>
            <w:r>
              <w:rPr>
                <w:sz w:val="22"/>
                <w:szCs w:val="22"/>
                <w:lang w:val="es-ES"/>
              </w:rPr>
              <w:t>cualquier</w:t>
            </w:r>
            <w:r>
              <w:rPr>
                <w:bCs/>
                <w:color w:val="000000"/>
                <w:sz w:val="22"/>
                <w:szCs w:val="22"/>
                <w:lang w:val="es-E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pPr>
              <w:pStyle w:val="Sangra3detindependiente"/>
              <w:numPr>
                <w:ilvl w:val="0"/>
                <w:numId w:val="164"/>
              </w:numPr>
              <w:spacing w:before="240" w:after="60"/>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no financiar ninguna propuesta de adjudicación de un contrato para la adquisición de bienes o servicios, la contratación de obras, o servicios de consultoría;</w:t>
            </w:r>
          </w:p>
          <w:p>
            <w:pPr>
              <w:pStyle w:val="Sangra3detindependiente"/>
              <w:numPr>
                <w:ilvl w:val="0"/>
                <w:numId w:val="164"/>
              </w:numPr>
              <w:spacing w:before="240" w:after="60"/>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suspender los desembolsos de la operación si se determina, en cualquier etapa, que un empleado, agencia o representante del Prestatario, el Organismo Ejecutor o el Organismo Comprador ha cometido una Práctica Prohibida;</w:t>
            </w:r>
          </w:p>
          <w:p>
            <w:pPr>
              <w:pStyle w:val="Sangra3detindependiente"/>
              <w:numPr>
                <w:ilvl w:val="0"/>
                <w:numId w:val="164"/>
              </w:numPr>
              <w:spacing w:before="240" w:after="60"/>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 xml:space="preserve">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w:t>
            </w:r>
            <w:r>
              <w:rPr>
                <w:rFonts w:ascii="Times New Roman" w:hAnsi="Times New Roman" w:cs="Times New Roman"/>
                <w:bCs/>
                <w:color w:val="000000"/>
                <w:sz w:val="22"/>
                <w:szCs w:val="22"/>
                <w:lang w:val="es-ES"/>
              </w:rPr>
              <w:lastRenderedPageBreak/>
              <w:t>conocimiento de la comisión de la Práctica Prohibida) en un plazo que el Banco considere razonable;</w:t>
            </w:r>
          </w:p>
          <w:p>
            <w:pPr>
              <w:pStyle w:val="Sangra3detindependiente"/>
              <w:numPr>
                <w:ilvl w:val="0"/>
                <w:numId w:val="164"/>
              </w:numPr>
              <w:spacing w:before="240" w:after="60"/>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emitir una amonestación a la firma, entidad o individuo en el formato de una carta oficial de censura por su conducta;</w:t>
            </w:r>
          </w:p>
          <w:p>
            <w:pPr>
              <w:pStyle w:val="Sangra3detindependiente"/>
              <w:numPr>
                <w:ilvl w:val="0"/>
                <w:numId w:val="164"/>
              </w:numPr>
              <w:spacing w:before="240" w:after="60"/>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declarar a una firma, entidad o individuo inelegible, en forma permanente o por un período determinado de tiempo, para la participación y/o la adjudicación de contratos adicionales financiados con recursos del Grupo BID;</w:t>
            </w:r>
          </w:p>
          <w:p>
            <w:pPr>
              <w:pStyle w:val="Sangra3detindependiente"/>
              <w:numPr>
                <w:ilvl w:val="0"/>
                <w:numId w:val="164"/>
              </w:numPr>
              <w:spacing w:before="240" w:after="60"/>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pPr>
              <w:pStyle w:val="Sangra3detindependiente"/>
              <w:numPr>
                <w:ilvl w:val="0"/>
                <w:numId w:val="164"/>
              </w:numPr>
              <w:spacing w:before="240" w:after="60"/>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pPr>
              <w:pStyle w:val="Sangra3detindependiente"/>
              <w:numPr>
                <w:ilvl w:val="0"/>
                <w:numId w:val="164"/>
              </w:numPr>
              <w:spacing w:before="240" w:after="60"/>
              <w:jc w:val="both"/>
              <w:outlineLvl w:val="7"/>
              <w:rPr>
                <w:rFonts w:ascii="Times New Roman" w:hAnsi="Times New Roman" w:cs="Times New Roman"/>
                <w:bCs/>
                <w:color w:val="000000"/>
                <w:sz w:val="22"/>
                <w:szCs w:val="22"/>
                <w:lang w:val="es-ES"/>
              </w:rPr>
            </w:pPr>
            <w:r>
              <w:rPr>
                <w:rFonts w:ascii="Times New Roman" w:hAnsi="Times New Roman" w:cs="Times New Roman"/>
                <w:bCs/>
                <w:color w:val="000000"/>
                <w:sz w:val="22"/>
                <w:szCs w:val="22"/>
                <w:lang w:val="es-ES"/>
              </w:rPr>
              <w:t>remitir el tema a las autoridades nacionales pertinentes encargadas de hacer cumplir las leyes.</w:t>
            </w:r>
          </w:p>
          <w:p>
            <w:pPr>
              <w:pStyle w:val="Sangra3detindependiente"/>
              <w:ind w:left="1242" w:firstLine="0"/>
              <w:jc w:val="both"/>
              <w:rPr>
                <w:rFonts w:ascii="Times New Roman" w:hAnsi="Times New Roman" w:cs="Times New Roman"/>
                <w:bCs/>
                <w:color w:val="000000"/>
                <w:sz w:val="22"/>
                <w:szCs w:val="22"/>
                <w:lang w:val="es-ES"/>
              </w:rPr>
            </w:pPr>
          </w:p>
          <w:p>
            <w:pPr>
              <w:pStyle w:val="Prrafodelista"/>
              <w:numPr>
                <w:ilvl w:val="0"/>
                <w:numId w:val="165"/>
              </w:numPr>
              <w:ind w:left="926"/>
              <w:jc w:val="both"/>
              <w:rPr>
                <w:sz w:val="22"/>
                <w:szCs w:val="22"/>
                <w:lang w:val="es-ES"/>
              </w:rPr>
            </w:pPr>
            <w:r>
              <w:rPr>
                <w:sz w:val="22"/>
                <w:szCs w:val="22"/>
                <w:lang w:val="es-ES"/>
              </w:rPr>
              <w:t xml:space="preserve">Lo dispuesto en los incisos (i) y (ii) de la IAO 3.1 (b) se aplicará también en los casos en que las </w:t>
            </w:r>
            <w:r>
              <w:rPr>
                <w:bCs/>
                <w:color w:val="000000"/>
                <w:sz w:val="22"/>
                <w:szCs w:val="22"/>
                <w:lang w:val="es-ES"/>
              </w:rPr>
              <w:t>partes</w:t>
            </w:r>
            <w:r>
              <w:rPr>
                <w:sz w:val="22"/>
                <w:szCs w:val="22"/>
                <w:lang w:val="es-ES"/>
              </w:rPr>
              <w:t xml:space="preserve"> hayan sido declaradas temporalmente inelegibles para la adjudicación de nuevos contratos en espera de que se adopte una decisión definitiva en un proceso de sanción, u otra resolución.</w:t>
            </w:r>
          </w:p>
          <w:p>
            <w:pPr>
              <w:rPr>
                <w:sz w:val="22"/>
                <w:szCs w:val="22"/>
                <w:lang w:val="es-ES"/>
              </w:rPr>
            </w:pPr>
          </w:p>
          <w:p>
            <w:pPr>
              <w:pStyle w:val="Prrafodelista"/>
              <w:numPr>
                <w:ilvl w:val="0"/>
                <w:numId w:val="165"/>
              </w:numPr>
              <w:ind w:left="926"/>
              <w:jc w:val="both"/>
              <w:rPr>
                <w:sz w:val="22"/>
                <w:szCs w:val="22"/>
                <w:lang w:val="es-ES"/>
              </w:rPr>
            </w:pPr>
            <w:r>
              <w:rPr>
                <w:sz w:val="22"/>
                <w:szCs w:val="22"/>
                <w:lang w:val="es-ES"/>
              </w:rPr>
              <w:t xml:space="preserve">La </w:t>
            </w:r>
            <w:r>
              <w:rPr>
                <w:bCs/>
                <w:color w:val="000000"/>
                <w:sz w:val="22"/>
                <w:szCs w:val="22"/>
                <w:lang w:val="es-ES"/>
              </w:rPr>
              <w:t>imposición</w:t>
            </w:r>
            <w:r>
              <w:rPr>
                <w:sz w:val="22"/>
                <w:szCs w:val="22"/>
                <w:lang w:val="es-ES"/>
              </w:rPr>
              <w:t xml:space="preserve"> de cualquier medida definitiva que sea tomada por el Banco de conformidad con las provisiones referidas anteriormente será de carácter público.</w:t>
            </w:r>
          </w:p>
          <w:p>
            <w:pPr>
              <w:rPr>
                <w:sz w:val="22"/>
                <w:szCs w:val="22"/>
                <w:lang w:val="es-ES"/>
              </w:rPr>
            </w:pPr>
          </w:p>
          <w:p>
            <w:pPr>
              <w:pStyle w:val="Prrafodelista"/>
              <w:numPr>
                <w:ilvl w:val="0"/>
                <w:numId w:val="165"/>
              </w:numPr>
              <w:ind w:left="926"/>
              <w:jc w:val="both"/>
              <w:rPr>
                <w:sz w:val="22"/>
                <w:szCs w:val="22"/>
                <w:lang w:val="es-ES"/>
              </w:rPr>
            </w:pPr>
            <w:r>
              <w:rPr>
                <w:sz w:val="22"/>
                <w:szCs w:val="22"/>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Pr>
                <w:bCs/>
                <w:color w:val="000000"/>
                <w:sz w:val="22"/>
                <w:szCs w:val="22"/>
                <w:lang w:val="es-ES"/>
              </w:rPr>
              <w:t>subcontratistas</w:t>
            </w:r>
            <w:r>
              <w:rPr>
                <w:sz w:val="22"/>
                <w:szCs w:val="22"/>
                <w:lang w:val="es-ES"/>
              </w:rPr>
              <w:t xml:space="preserve">, subconsultores, proveedores de servicios, concesionarios, personal de los </w:t>
            </w:r>
            <w:r>
              <w:rPr>
                <w:sz w:val="22"/>
                <w:szCs w:val="22"/>
                <w:lang w:val="es-ES"/>
              </w:rPr>
              <w:lastRenderedPageBreak/>
              <w:t>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pPr>
              <w:rPr>
                <w:sz w:val="22"/>
                <w:szCs w:val="22"/>
                <w:lang w:val="es-ES"/>
              </w:rPr>
            </w:pPr>
          </w:p>
          <w:p>
            <w:pPr>
              <w:pStyle w:val="Prrafodelista"/>
              <w:numPr>
                <w:ilvl w:val="0"/>
                <w:numId w:val="165"/>
              </w:numPr>
              <w:ind w:left="926"/>
              <w:jc w:val="both"/>
              <w:rPr>
                <w:sz w:val="22"/>
                <w:szCs w:val="22"/>
                <w:lang w:val="es-ES"/>
              </w:rPr>
            </w:pPr>
            <w:r>
              <w:rPr>
                <w:sz w:val="22"/>
                <w:szCs w:val="22"/>
                <w:lang w:val="es-ES"/>
              </w:rPr>
              <w:t xml:space="preserve">El Banco exige que los licitantes, oferentes, proponentes, solicitantes, proveedores de </w:t>
            </w:r>
            <w:r>
              <w:rPr>
                <w:bCs/>
                <w:color w:val="000000"/>
                <w:sz w:val="22"/>
                <w:szCs w:val="22"/>
                <w:lang w:val="es-ES"/>
              </w:rPr>
              <w:t>bienes</w:t>
            </w:r>
            <w:r>
              <w:rPr>
                <w:sz w:val="22"/>
                <w:szCs w:val="22"/>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pPr>
              <w:rPr>
                <w:sz w:val="22"/>
                <w:szCs w:val="22"/>
                <w:lang w:val="es-ES"/>
              </w:rPr>
            </w:pPr>
          </w:p>
          <w:p>
            <w:pPr>
              <w:pStyle w:val="Prrafodelista"/>
              <w:numPr>
                <w:ilvl w:val="0"/>
                <w:numId w:val="165"/>
              </w:numPr>
              <w:ind w:left="926"/>
              <w:jc w:val="both"/>
              <w:rPr>
                <w:sz w:val="22"/>
                <w:szCs w:val="22"/>
                <w:lang w:val="es-ES"/>
              </w:rPr>
            </w:pPr>
            <w:r>
              <w:rPr>
                <w:sz w:val="22"/>
                <w:szCs w:val="22"/>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w:t>
            </w:r>
            <w:r>
              <w:rPr>
                <w:sz w:val="22"/>
                <w:szCs w:val="22"/>
                <w:lang w:val="es-ES"/>
              </w:rPr>
              <w:lastRenderedPageBreak/>
              <w:t>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pPr>
              <w:ind w:left="882" w:hanging="360"/>
              <w:jc w:val="both"/>
              <w:rPr>
                <w:bCs/>
                <w:color w:val="000000"/>
                <w:sz w:val="22"/>
                <w:szCs w:val="22"/>
                <w:lang w:val="es-ES"/>
              </w:rPr>
            </w:pPr>
          </w:p>
          <w:p>
            <w:pPr>
              <w:pStyle w:val="Prrafodelista"/>
              <w:numPr>
                <w:ilvl w:val="0"/>
                <w:numId w:val="166"/>
              </w:numPr>
              <w:ind w:left="495" w:hanging="426"/>
              <w:jc w:val="both"/>
              <w:rPr>
                <w:sz w:val="22"/>
                <w:szCs w:val="22"/>
                <w:lang w:val="es-ES"/>
              </w:rPr>
            </w:pPr>
            <w:r>
              <w:rPr>
                <w:sz w:val="22"/>
                <w:szCs w:val="22"/>
                <w:lang w:val="es-ES"/>
              </w:rPr>
              <w:t>Los licitantes, oferentes, proponentes, solicitantes, al presentar sus ofertas, propuestas o solicitudes, declaran y garantizan:</w:t>
            </w:r>
          </w:p>
          <w:p>
            <w:pPr>
              <w:jc w:val="both"/>
              <w:rPr>
                <w:bCs/>
                <w:color w:val="000000"/>
                <w:sz w:val="22"/>
                <w:szCs w:val="22"/>
                <w:lang w:val="es-ES"/>
              </w:rPr>
            </w:pPr>
          </w:p>
          <w:p>
            <w:pPr>
              <w:pStyle w:val="Prrafodelista"/>
              <w:numPr>
                <w:ilvl w:val="0"/>
                <w:numId w:val="167"/>
              </w:numPr>
              <w:ind w:left="926" w:hanging="425"/>
              <w:jc w:val="both"/>
              <w:rPr>
                <w:sz w:val="22"/>
                <w:szCs w:val="22"/>
                <w:lang w:val="es-ES"/>
              </w:rPr>
            </w:pPr>
            <w:r>
              <w:rPr>
                <w:sz w:val="22"/>
                <w:szCs w:val="22"/>
                <w:lang w:val="es-ES"/>
              </w:rPr>
              <w:t>que han leído y entendido las definiciones de Prácticas Prohibidas del Banco y las sanciones aplicables de conformidad con los Procedimientos de Sanciones;</w:t>
            </w:r>
          </w:p>
          <w:p>
            <w:pPr>
              <w:pStyle w:val="Prrafodelista"/>
              <w:numPr>
                <w:ilvl w:val="0"/>
                <w:numId w:val="167"/>
              </w:numPr>
              <w:ind w:left="926" w:hanging="425"/>
              <w:jc w:val="both"/>
              <w:rPr>
                <w:sz w:val="22"/>
                <w:szCs w:val="22"/>
                <w:lang w:val="es-ES"/>
              </w:rPr>
            </w:pPr>
            <w:r>
              <w:rPr>
                <w:sz w:val="22"/>
                <w:szCs w:val="22"/>
                <w:lang w:val="es-ES"/>
              </w:rPr>
              <w:t>que no han incurrido o no incurrirán en ninguna Práctica Prohibida descrita en este documento durante los procesos de selección, negociación, adjudicación o ejecución de este contrato;</w:t>
            </w:r>
          </w:p>
          <w:p>
            <w:pPr>
              <w:pStyle w:val="Prrafodelista"/>
              <w:numPr>
                <w:ilvl w:val="0"/>
                <w:numId w:val="167"/>
              </w:numPr>
              <w:ind w:left="926" w:hanging="425"/>
              <w:jc w:val="both"/>
              <w:rPr>
                <w:sz w:val="22"/>
                <w:szCs w:val="22"/>
                <w:lang w:val="es-ES"/>
              </w:rPr>
            </w:pPr>
            <w:r>
              <w:rPr>
                <w:sz w:val="22"/>
                <w:szCs w:val="22"/>
                <w:lang w:val="es-ES"/>
              </w:rPr>
              <w:t>que no han tergiversado ni ocultado ningún hecho sustancial durante los procesos de selección, negociación, adjudicación o ejecución de este contrato;</w:t>
            </w:r>
          </w:p>
          <w:p>
            <w:pPr>
              <w:pStyle w:val="Prrafodelista"/>
              <w:numPr>
                <w:ilvl w:val="0"/>
                <w:numId w:val="167"/>
              </w:numPr>
              <w:ind w:left="926" w:hanging="425"/>
              <w:jc w:val="both"/>
              <w:rPr>
                <w:sz w:val="22"/>
                <w:szCs w:val="22"/>
                <w:lang w:val="es-ES"/>
              </w:rPr>
            </w:pPr>
            <w:r>
              <w:rPr>
                <w:sz w:val="22"/>
                <w:szCs w:val="22"/>
                <w:lang w:val="es-ES"/>
              </w:rPr>
              <w:t xml:space="preserve">que ni ellos ni sus agentes, subcontratistas, subconsultores, directores, personal clave o accionistas principales son inelegibles para la adjudicación de contratos financiados por el Banco; </w:t>
            </w:r>
          </w:p>
          <w:p>
            <w:pPr>
              <w:pStyle w:val="Prrafodelista"/>
              <w:numPr>
                <w:ilvl w:val="0"/>
                <w:numId w:val="167"/>
              </w:numPr>
              <w:ind w:left="926" w:hanging="425"/>
              <w:jc w:val="both"/>
              <w:rPr>
                <w:sz w:val="22"/>
                <w:szCs w:val="22"/>
                <w:lang w:val="es-ES"/>
              </w:rPr>
            </w:pPr>
            <w:r>
              <w:rPr>
                <w:sz w:val="22"/>
                <w:szCs w:val="22"/>
                <w:lang w:val="es-ES"/>
              </w:rPr>
              <w:t>que han declarado todas las comisiones, honorarios de representantes o agentes, pagos por servicios de facilitación o acuerdos para compartir ingresos relacionados con actividades financiadas por el Banco; y,</w:t>
            </w:r>
          </w:p>
          <w:p>
            <w:pPr>
              <w:pStyle w:val="Prrafodelista"/>
              <w:numPr>
                <w:ilvl w:val="0"/>
                <w:numId w:val="167"/>
              </w:numPr>
              <w:ind w:left="926" w:hanging="425"/>
              <w:jc w:val="both"/>
              <w:rPr>
                <w:sz w:val="22"/>
                <w:szCs w:val="22"/>
                <w:lang w:val="es-ES"/>
              </w:rPr>
            </w:pPr>
            <w:r>
              <w:rPr>
                <w:sz w:val="22"/>
                <w:szCs w:val="22"/>
                <w:lang w:val="es-ES"/>
              </w:rPr>
              <w:t>que reconocen que el incumplimiento de cualquiera de estas garantías podrá dar lugar a la imposición por el Banco de una o más de las medidas descritas en la IAO 3.1 (b).</w:t>
            </w:r>
          </w:p>
          <w:p>
            <w:pPr>
              <w:ind w:left="882" w:hanging="360"/>
              <w:jc w:val="both"/>
              <w:rPr>
                <w:bCs/>
                <w:color w:val="000000"/>
                <w:sz w:val="22"/>
                <w:szCs w:val="22"/>
                <w:lang w:val="es-ES"/>
              </w:rPr>
            </w:pPr>
          </w:p>
        </w:tc>
      </w:tr>
      <w:tr>
        <w:trPr>
          <w:jc w:val="center"/>
        </w:trPr>
        <w:tc>
          <w:tcPr>
            <w:tcW w:w="2656" w:type="dxa"/>
          </w:tcPr>
          <w:p>
            <w:pPr>
              <w:pStyle w:val="IAOs"/>
              <w:rPr>
                <w:rFonts w:ascii="Times New Roman" w:hAnsi="Times New Roman"/>
              </w:rPr>
            </w:pPr>
            <w:bookmarkStart w:id="32" w:name="_Toc175256876"/>
            <w:r>
              <w:rPr>
                <w:rFonts w:ascii="Times New Roman" w:hAnsi="Times New Roman"/>
              </w:rPr>
              <w:lastRenderedPageBreak/>
              <w:t>Actividades Prohibidas</w:t>
            </w:r>
            <w:bookmarkEnd w:id="32"/>
          </w:p>
        </w:tc>
        <w:tc>
          <w:tcPr>
            <w:tcW w:w="7053" w:type="dxa"/>
          </w:tcPr>
          <w:p>
            <w:pPr>
              <w:pStyle w:val="Sub-ClauseText"/>
              <w:numPr>
                <w:ilvl w:val="1"/>
                <w:numId w:val="31"/>
              </w:numPr>
              <w:tabs>
                <w:tab w:val="clear" w:pos="360"/>
              </w:tabs>
              <w:spacing w:after="200"/>
              <w:ind w:left="501"/>
              <w:rPr>
                <w:color w:val="000000"/>
                <w:sz w:val="22"/>
                <w:szCs w:val="22"/>
                <w:lang w:val="es-ES"/>
              </w:rPr>
            </w:pPr>
            <w:r>
              <w:rPr>
                <w:color w:val="000000"/>
                <w:sz w:val="22"/>
                <w:szCs w:val="22"/>
                <w:lang w:val="es-ES"/>
              </w:rPr>
              <w:t xml:space="preserve">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subcontratistas, subconsultores,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w:t>
            </w:r>
            <w:r>
              <w:rPr>
                <w:color w:val="000000"/>
                <w:sz w:val="22"/>
                <w:szCs w:val="22"/>
                <w:lang w:val="es-ES"/>
              </w:rPr>
              <w:lastRenderedPageBreak/>
              <w:t>Ambiental y Social , la cual permite adicionalmente incluir  exclusiones adicionales.</w:t>
            </w:r>
          </w:p>
          <w:p>
            <w:pPr>
              <w:pStyle w:val="Sub-ClauseText"/>
              <w:numPr>
                <w:ilvl w:val="1"/>
                <w:numId w:val="31"/>
              </w:numPr>
              <w:tabs>
                <w:tab w:val="clear" w:pos="360"/>
              </w:tabs>
              <w:spacing w:after="200"/>
              <w:ind w:left="501"/>
              <w:rPr>
                <w:color w:val="000000"/>
                <w:sz w:val="22"/>
                <w:szCs w:val="22"/>
                <w:lang w:val="es-ES"/>
              </w:rPr>
            </w:pPr>
            <w:r>
              <w:rPr>
                <w:color w:val="000000"/>
                <w:sz w:val="22"/>
                <w:szCs w:val="22"/>
                <w:lang w:val="es-ES"/>
              </w:rPr>
              <w:t>Si el Banco determina que, en cualquier etapa de la implementación de un contrato, el Prestatario (incluidos los beneficiarios de donaciones), las agencias de ejecución, las agencias de contratación, cualquier firma, entidad o individuo que participe en una actividad financiada por el Banco como, entre otros, licitantes , proponentes, proveedores, contratistas, consultores, personal, subcontratistas, subconsultores, proveedores de bienes o servicios, concesionarios utilizaron recursos del BID para realizar una Actividad Prohibida durante la ejecución del contrato, el Banco podrá</w:t>
            </w:r>
          </w:p>
          <w:p>
            <w:pPr>
              <w:pStyle w:val="Sub-ClauseText"/>
              <w:numPr>
                <w:ilvl w:val="0"/>
                <w:numId w:val="179"/>
              </w:numPr>
              <w:spacing w:after="200"/>
              <w:ind w:left="926" w:hanging="425"/>
              <w:rPr>
                <w:color w:val="000000"/>
                <w:sz w:val="22"/>
                <w:szCs w:val="22"/>
                <w:lang w:val="es-ES"/>
              </w:rPr>
            </w:pPr>
            <w:r>
              <w:rPr>
                <w:color w:val="000000"/>
                <w:sz w:val="22"/>
                <w:szCs w:val="22"/>
                <w:lang w:val="es-ES"/>
              </w:rPr>
              <w:t>suspender el desembolso de la operación si se determina en cualquier etapa del contrato se ha utilizado recursos del BID para realizar una Actividad Excluida.</w:t>
            </w:r>
          </w:p>
          <w:p>
            <w:pPr>
              <w:pStyle w:val="Sub-ClauseText"/>
              <w:numPr>
                <w:ilvl w:val="0"/>
                <w:numId w:val="179"/>
              </w:numPr>
              <w:spacing w:after="200"/>
              <w:ind w:left="926" w:hanging="425"/>
              <w:rPr>
                <w:color w:val="000000"/>
                <w:sz w:val="22"/>
                <w:szCs w:val="22"/>
                <w:lang w:val="es-ES"/>
              </w:rPr>
            </w:pPr>
            <w:r>
              <w:rPr>
                <w:color w:val="000000"/>
                <w:sz w:val="22"/>
                <w:szCs w:val="22"/>
                <w:lang w:val="es-ES"/>
              </w:rPr>
              <w:t xml:space="preserve">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w:t>
            </w:r>
          </w:p>
          <w:p>
            <w:pPr>
              <w:pStyle w:val="Sub-ClauseText"/>
              <w:numPr>
                <w:ilvl w:val="0"/>
                <w:numId w:val="179"/>
              </w:numPr>
              <w:spacing w:after="200"/>
              <w:ind w:left="926" w:hanging="425"/>
              <w:rPr>
                <w:color w:val="000000"/>
                <w:sz w:val="22"/>
                <w:szCs w:val="22"/>
                <w:lang w:val="es-ES"/>
              </w:rPr>
            </w:pPr>
            <w:r>
              <w:rPr>
                <w:color w:val="000000"/>
                <w:sz w:val="22"/>
                <w:szCs w:val="22"/>
                <w:lang w:val="es-ES"/>
              </w:rPr>
              <w:t>remitir el asunto a las autoridades competentes encargadas de hacer cumplir la ley.</w:t>
            </w:r>
          </w:p>
          <w:p>
            <w:pPr>
              <w:pStyle w:val="Sub-ClauseText"/>
              <w:numPr>
                <w:ilvl w:val="1"/>
                <w:numId w:val="31"/>
              </w:numPr>
              <w:tabs>
                <w:tab w:val="clear" w:pos="360"/>
              </w:tabs>
              <w:spacing w:after="200"/>
              <w:ind w:left="501"/>
              <w:rPr>
                <w:color w:val="000000"/>
                <w:sz w:val="22"/>
                <w:szCs w:val="22"/>
                <w:lang w:val="es-ES"/>
              </w:rPr>
            </w:pPr>
            <w:r>
              <w:rPr>
                <w:color w:val="000000"/>
                <w:sz w:val="22"/>
                <w:szCs w:val="22"/>
                <w:lang w:val="es-ES"/>
              </w:rPr>
              <w:t>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el cumplimiento de los contratos, así como hacerlos auditar por personal designado por el Banco.</w:t>
            </w:r>
          </w:p>
          <w:p>
            <w:pPr>
              <w:pStyle w:val="Sub-ClauseText"/>
              <w:numPr>
                <w:ilvl w:val="1"/>
                <w:numId w:val="31"/>
              </w:numPr>
              <w:overflowPunct/>
              <w:autoSpaceDE/>
              <w:autoSpaceDN/>
              <w:adjustRightInd/>
              <w:spacing w:before="0" w:after="200"/>
              <w:ind w:left="501"/>
              <w:textAlignment w:val="auto"/>
              <w:rPr>
                <w:color w:val="000000"/>
                <w:sz w:val="22"/>
                <w:szCs w:val="22"/>
                <w:lang w:val="es-ES"/>
              </w:rPr>
            </w:pPr>
            <w:r>
              <w:rPr>
                <w:color w:val="000000"/>
                <w:sz w:val="22"/>
                <w:szCs w:val="22"/>
                <w:lang w:val="es-ES"/>
              </w:rPr>
              <w:t>Los oferentes, solicitantes, postores, proponentes, proveedores y sus representantes o agentes, contratistas, consultores, subcontratistas, subconsultores, proveedores de servicios y concesionarios deberán asistir plenamente al Banco en su seguimiento y supervisión.</w:t>
            </w:r>
          </w:p>
        </w:tc>
      </w:tr>
      <w:tr>
        <w:trPr>
          <w:jc w:val="center"/>
        </w:trPr>
        <w:tc>
          <w:tcPr>
            <w:tcW w:w="2656" w:type="dxa"/>
          </w:tcPr>
          <w:p>
            <w:pPr>
              <w:pStyle w:val="IAOs"/>
              <w:rPr>
                <w:rFonts w:ascii="Times New Roman" w:hAnsi="Times New Roman"/>
              </w:rPr>
            </w:pPr>
            <w:bookmarkStart w:id="33" w:name="_Toc435519177"/>
            <w:bookmarkStart w:id="34" w:name="_Toc435624811"/>
            <w:bookmarkStart w:id="35" w:name="_Toc455487597"/>
            <w:bookmarkStart w:id="36" w:name="_Toc26891417"/>
            <w:bookmarkStart w:id="37" w:name="_Toc175256877"/>
            <w:bookmarkEnd w:id="33"/>
            <w:bookmarkEnd w:id="34"/>
            <w:r>
              <w:rPr>
                <w:rFonts w:ascii="Times New Roman" w:hAnsi="Times New Roman"/>
              </w:rPr>
              <w:lastRenderedPageBreak/>
              <w:t xml:space="preserve">Oferentes </w:t>
            </w:r>
            <w:bookmarkEnd w:id="35"/>
            <w:r>
              <w:rPr>
                <w:rFonts w:ascii="Times New Roman" w:hAnsi="Times New Roman"/>
              </w:rPr>
              <w:t>Elegibles</w:t>
            </w:r>
            <w:bookmarkEnd w:id="36"/>
            <w:bookmarkEnd w:id="37"/>
          </w:p>
          <w:p>
            <w:pPr>
              <w:pStyle w:val="IAOs"/>
              <w:numPr>
                <w:ilvl w:val="0"/>
                <w:numId w:val="0"/>
              </w:numPr>
              <w:ind w:left="432"/>
              <w:rPr>
                <w:rFonts w:ascii="Times New Roman" w:hAnsi="Times New Roman"/>
                <w:sz w:val="24"/>
              </w:rPr>
            </w:pPr>
          </w:p>
          <w:p>
            <w:pPr>
              <w:pStyle w:val="IAOs"/>
              <w:numPr>
                <w:ilvl w:val="0"/>
                <w:numId w:val="0"/>
              </w:numPr>
              <w:ind w:left="432"/>
              <w:rPr>
                <w:rFonts w:ascii="Times New Roman" w:hAnsi="Times New Roman"/>
                <w:bCs/>
                <w:sz w:val="24"/>
              </w:rPr>
            </w:pPr>
          </w:p>
        </w:tc>
        <w:tc>
          <w:tcPr>
            <w:tcW w:w="7053" w:type="dxa"/>
          </w:tcPr>
          <w:p>
            <w:pPr>
              <w:pStyle w:val="Sub-ClauseText"/>
              <w:numPr>
                <w:ilvl w:val="1"/>
                <w:numId w:val="181"/>
              </w:numPr>
              <w:overflowPunct/>
              <w:autoSpaceDE/>
              <w:autoSpaceDN/>
              <w:adjustRightInd/>
              <w:spacing w:before="0" w:after="200"/>
              <w:textAlignment w:val="auto"/>
              <w:rPr>
                <w:color w:val="000000"/>
                <w:spacing w:val="0"/>
                <w:sz w:val="22"/>
                <w:szCs w:val="22"/>
                <w:lang w:val="es-ES"/>
              </w:rPr>
            </w:pPr>
            <w:r>
              <w:rPr>
                <w:color w:val="000000"/>
                <w:sz w:val="22"/>
                <w:szCs w:val="22"/>
                <w:lang w:val="es-ES"/>
              </w:rPr>
              <w:t xml:space="preserve">Un Oferente, y todas las partes que constituyen el Oferente, deberán ser originarios de países miembros del Banco. Los Oferentes de otros países no serán elegibles para participar en contratos financiados en todo o en parte con fondos del Banco. En la Sección V, </w:t>
            </w:r>
            <w:r>
              <w:rPr>
                <w:bCs/>
                <w:color w:val="000000"/>
                <w:sz w:val="22"/>
                <w:szCs w:val="22"/>
                <w:lang w:val="es-ES"/>
              </w:rPr>
              <w:t>“</w:t>
            </w:r>
            <w:r>
              <w:rPr>
                <w:color w:val="000000"/>
                <w:sz w:val="22"/>
                <w:szCs w:val="22"/>
                <w:lang w:val="es-ES"/>
              </w:rPr>
              <w:t>Países Elegibles</w:t>
            </w:r>
            <w:r>
              <w:rPr>
                <w:bCs/>
                <w:color w:val="000000"/>
                <w:sz w:val="22"/>
                <w:szCs w:val="22"/>
                <w:lang w:val="es-ES"/>
              </w:rPr>
              <w:t xml:space="preserve">” </w:t>
            </w:r>
            <w:r>
              <w:rPr>
                <w:color w:val="000000"/>
                <w:sz w:val="22"/>
                <w:szCs w:val="22"/>
                <w:lang w:val="es-ES"/>
              </w:rPr>
              <w:t>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pPr>
              <w:numPr>
                <w:ilvl w:val="0"/>
                <w:numId w:val="32"/>
              </w:numPr>
              <w:tabs>
                <w:tab w:val="num" w:pos="792"/>
              </w:tabs>
              <w:ind w:left="792" w:hanging="360"/>
              <w:jc w:val="both"/>
              <w:rPr>
                <w:color w:val="000000"/>
                <w:sz w:val="22"/>
                <w:szCs w:val="22"/>
                <w:lang w:val="es-ES"/>
              </w:rPr>
            </w:pPr>
            <w:r>
              <w:rPr>
                <w:color w:val="000000"/>
                <w:sz w:val="22"/>
                <w:szCs w:val="22"/>
                <w:lang w:val="es-ES"/>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trate; o </w:t>
            </w:r>
          </w:p>
          <w:p>
            <w:pPr>
              <w:numPr>
                <w:ilvl w:val="0"/>
                <w:numId w:val="32"/>
              </w:numPr>
              <w:tabs>
                <w:tab w:val="num" w:pos="792"/>
              </w:tabs>
              <w:ind w:left="792" w:hanging="360"/>
              <w:jc w:val="both"/>
              <w:rPr>
                <w:color w:val="000000"/>
                <w:sz w:val="22"/>
                <w:szCs w:val="22"/>
                <w:lang w:val="es-ES"/>
              </w:rPr>
            </w:pPr>
            <w:r>
              <w:rPr>
                <w:color w:val="000000"/>
                <w:sz w:val="22"/>
                <w:szCs w:val="22"/>
                <w:lang w:val="es-ES"/>
              </w:rPr>
              <w:t xml:space="preserve">en cumplimiento de una decisión del Consejo de Seguridad de las Naciones Unidas adoptada en virtud del Capítulo VII de la Carta de </w:t>
            </w:r>
            <w:r>
              <w:rPr>
                <w:color w:val="000000"/>
                <w:sz w:val="22"/>
                <w:szCs w:val="22"/>
                <w:lang w:val="es-ES"/>
              </w:rPr>
              <w:lastRenderedPageBreak/>
              <w:t>esa Organización, el país del Prestatario prohíbe la importación de bienes de ese país en cuestión o pagos de cualquier naturaleza a ese país, a una persona o una entidad.</w:t>
            </w:r>
          </w:p>
          <w:p>
            <w:pPr>
              <w:ind w:left="432"/>
              <w:jc w:val="both"/>
              <w:rPr>
                <w:sz w:val="22"/>
                <w:szCs w:val="22"/>
                <w:lang w:val="es-ES"/>
              </w:rPr>
            </w:pPr>
          </w:p>
        </w:tc>
      </w:tr>
      <w:tr>
        <w:trPr>
          <w:jc w:val="center"/>
        </w:trPr>
        <w:tc>
          <w:tcPr>
            <w:tcW w:w="2656" w:type="dxa"/>
          </w:tcPr>
          <w:p>
            <w:pPr>
              <w:pStyle w:val="IAOs"/>
              <w:numPr>
                <w:ilvl w:val="0"/>
                <w:numId w:val="0"/>
              </w:numPr>
              <w:ind w:left="432"/>
              <w:rPr>
                <w:rFonts w:ascii="Times New Roman" w:hAnsi="Times New Roman"/>
                <w:i/>
                <w:sz w:val="24"/>
              </w:rPr>
            </w:pPr>
          </w:p>
        </w:tc>
        <w:tc>
          <w:tcPr>
            <w:tcW w:w="7053" w:type="dxa"/>
          </w:tcPr>
          <w:p>
            <w:pPr>
              <w:pStyle w:val="Sub-ClauseText"/>
              <w:numPr>
                <w:ilvl w:val="1"/>
                <w:numId w:val="181"/>
              </w:numPr>
              <w:overflowPunct/>
              <w:autoSpaceDE/>
              <w:autoSpaceDN/>
              <w:adjustRightInd/>
              <w:spacing w:before="0" w:after="200"/>
              <w:textAlignment w:val="auto"/>
              <w:rPr>
                <w:color w:val="000000"/>
                <w:sz w:val="22"/>
                <w:szCs w:val="22"/>
                <w:lang w:val="es-ES"/>
              </w:rPr>
            </w:pPr>
            <w:r>
              <w:rPr>
                <w:sz w:val="22"/>
                <w:szCs w:val="22"/>
                <w:lang w:val="es-ES"/>
              </w:rPr>
              <w:t xml:space="preserve">Un Oferente, incluidos, en todos los casos, los respectivos directores, personal clave, accionistas principales, personal propuesto y agentes no deberá tener conflicto de interés a menos que haya sido resuelto a satisfacción del Banco. </w:t>
            </w:r>
            <w:r>
              <w:rPr>
                <w:color w:val="000000"/>
                <w:sz w:val="22"/>
                <w:szCs w:val="22"/>
                <w:lang w:val="es-ES"/>
              </w:rPr>
              <w:t xml:space="preserve">Los Oferentes que sean considerados que tienen conflictos de interés serán descalificados. Se considerará que los Oferentes tienen conflicto de interés con una o más partes en este proceso de Licitación, si ellos: </w:t>
            </w:r>
          </w:p>
        </w:tc>
      </w:tr>
      <w:tr>
        <w:trPr>
          <w:jc w:val="center"/>
        </w:trPr>
        <w:tc>
          <w:tcPr>
            <w:tcW w:w="2656" w:type="dxa"/>
          </w:tcPr>
          <w:p>
            <w:pPr>
              <w:pStyle w:val="IAOs"/>
              <w:numPr>
                <w:ilvl w:val="0"/>
                <w:numId w:val="0"/>
              </w:numPr>
              <w:ind w:left="432"/>
              <w:rPr>
                <w:rFonts w:ascii="Times New Roman" w:hAnsi="Times New Roman"/>
                <w:i/>
                <w:sz w:val="24"/>
              </w:rPr>
            </w:pPr>
          </w:p>
        </w:tc>
        <w:tc>
          <w:tcPr>
            <w:tcW w:w="7053" w:type="dxa"/>
          </w:tcPr>
          <w:p>
            <w:pPr>
              <w:numPr>
                <w:ilvl w:val="0"/>
                <w:numId w:val="67"/>
              </w:numPr>
              <w:ind w:left="1063" w:hanging="426"/>
              <w:contextualSpacing/>
              <w:jc w:val="both"/>
              <w:rPr>
                <w:sz w:val="22"/>
                <w:szCs w:val="22"/>
                <w:lang w:val="es-ES"/>
              </w:rPr>
            </w:pPr>
            <w:r>
              <w:rPr>
                <w:sz w:val="22"/>
                <w:szCs w:val="22"/>
                <w:lang w:val="es-ES"/>
              </w:rPr>
              <w:t>tienen control</w:t>
            </w:r>
            <w:r>
              <w:rPr>
                <w:rStyle w:val="Refdenotaalpie"/>
                <w:sz w:val="22"/>
                <w:szCs w:val="22"/>
                <w:lang w:val="es-ES"/>
              </w:rPr>
              <w:footnoteReference w:id="4"/>
            </w:r>
            <w:r>
              <w:rPr>
                <w:sz w:val="22"/>
                <w:szCs w:val="22"/>
                <w:lang w:val="es-ES"/>
              </w:rPr>
              <w:t xml:space="preserve"> de manera directa o indirecta en otro Oferente, es controlado de manera directa o indirecta por otro Oferente o es controlado junto a otro Oferente por una persona natural o jurídica en común; o</w:t>
            </w:r>
          </w:p>
          <w:p>
            <w:pPr>
              <w:numPr>
                <w:ilvl w:val="0"/>
                <w:numId w:val="67"/>
              </w:numPr>
              <w:ind w:left="1063" w:hanging="426"/>
              <w:contextualSpacing/>
              <w:jc w:val="both"/>
              <w:rPr>
                <w:sz w:val="22"/>
                <w:szCs w:val="22"/>
                <w:lang w:val="es-ES"/>
              </w:rPr>
            </w:pPr>
            <w:r>
              <w:rPr>
                <w:sz w:val="22"/>
                <w:szCs w:val="22"/>
                <w:lang w:val="es-ES"/>
              </w:rPr>
              <w:t>reciben o ha recibido algún subsidio directo o indirecto de otro Oferente; o</w:t>
            </w:r>
          </w:p>
          <w:p>
            <w:pPr>
              <w:numPr>
                <w:ilvl w:val="0"/>
                <w:numId w:val="67"/>
              </w:numPr>
              <w:ind w:left="1063" w:hanging="426"/>
              <w:contextualSpacing/>
              <w:jc w:val="both"/>
              <w:rPr>
                <w:sz w:val="22"/>
                <w:szCs w:val="22"/>
                <w:lang w:val="es-ES"/>
              </w:rPr>
            </w:pPr>
            <w:r>
              <w:rPr>
                <w:sz w:val="22"/>
                <w:szCs w:val="22"/>
                <w:lang w:val="es-ES"/>
              </w:rPr>
              <w:t>comparten el mismo representante legal con otro Oferente para fines de esta Licitación; o</w:t>
            </w:r>
          </w:p>
          <w:p>
            <w:pPr>
              <w:numPr>
                <w:ilvl w:val="0"/>
                <w:numId w:val="67"/>
              </w:numPr>
              <w:ind w:left="1063" w:hanging="426"/>
              <w:contextualSpacing/>
              <w:jc w:val="both"/>
              <w:rPr>
                <w:sz w:val="22"/>
                <w:szCs w:val="22"/>
                <w:lang w:val="es-ES"/>
              </w:rPr>
            </w:pPr>
            <w:r>
              <w:rPr>
                <w:sz w:val="22"/>
                <w:szCs w:val="22"/>
                <w:lang w:val="es-ES"/>
              </w:rPr>
              <w:t>poseen una relación con otro Oferente, directamente o a través de terceros en común, que le permite influir en la Oferta de otro Oferente o en las decisiones del Comprador en relación con esta licitación; o</w:t>
            </w:r>
          </w:p>
          <w:p>
            <w:pPr>
              <w:numPr>
                <w:ilvl w:val="0"/>
                <w:numId w:val="67"/>
              </w:numPr>
              <w:ind w:left="1063" w:hanging="426"/>
              <w:contextualSpacing/>
              <w:jc w:val="both"/>
              <w:rPr>
                <w:sz w:val="22"/>
                <w:szCs w:val="22"/>
                <w:lang w:val="es-ES"/>
              </w:rPr>
            </w:pPr>
            <w:r>
              <w:rPr>
                <w:sz w:val="22"/>
                <w:szCs w:val="22"/>
                <w:lang w:val="es-ES"/>
              </w:rPr>
              <w:t>cualquiera de sus afiliados ha participado como consultora en la preparación de los estudios preliminares, del diseño conceptual o de las especificaciones técnicas de los Bienes y servicios conexos que constituyen el objeto de la Oferta; o</w:t>
            </w:r>
          </w:p>
          <w:p>
            <w:pPr>
              <w:numPr>
                <w:ilvl w:val="0"/>
                <w:numId w:val="67"/>
              </w:numPr>
              <w:ind w:left="1063" w:hanging="426"/>
              <w:contextualSpacing/>
              <w:jc w:val="both"/>
              <w:rPr>
                <w:sz w:val="22"/>
                <w:szCs w:val="22"/>
                <w:lang w:val="es-ES"/>
              </w:rPr>
            </w:pPr>
            <w:r>
              <w:rPr>
                <w:sz w:val="22"/>
                <w:szCs w:val="22"/>
                <w:lang w:val="es-ES"/>
              </w:rPr>
              <w:t>cualquiera de sus afiliados ha sido contratado (o se propone para ser contratada) por el Comprador o por el Prestatario como Gerente de Proyecto para la ejecución del Contrato; o</w:t>
            </w:r>
          </w:p>
          <w:p>
            <w:pPr>
              <w:numPr>
                <w:ilvl w:val="0"/>
                <w:numId w:val="67"/>
              </w:numPr>
              <w:ind w:left="1063" w:hanging="426"/>
              <w:contextualSpacing/>
              <w:jc w:val="both"/>
              <w:rPr>
                <w:sz w:val="22"/>
                <w:szCs w:val="22"/>
                <w:lang w:val="es-ES"/>
              </w:rPr>
            </w:pPr>
            <w:r>
              <w:rPr>
                <w:sz w:val="22"/>
                <w:szCs w:val="22"/>
                <w:lang w:val="es-ES"/>
              </w:rPr>
              <w:t>proveerán bienes, obras y servicios distintos de los de consultoría resultantes de los servicios de consultoría, o directamente relacionados con ellos, para la preparación o ejecución del proyecto especificado en la IAO 2.1</w:t>
            </w:r>
            <w:r>
              <w:rPr>
                <w:b/>
                <w:sz w:val="22"/>
                <w:szCs w:val="22"/>
                <w:lang w:val="es-ES"/>
              </w:rPr>
              <w:t xml:space="preserve"> </w:t>
            </w:r>
            <w:r>
              <w:rPr>
                <w:bCs/>
                <w:sz w:val="22"/>
                <w:szCs w:val="22"/>
                <w:lang w:val="es-ES"/>
              </w:rPr>
              <w:t>de los DDL</w:t>
            </w:r>
            <w:r>
              <w:rPr>
                <w:sz w:val="22"/>
                <w:szCs w:val="22"/>
                <w:lang w:val="es-ES"/>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p>
            <w:pPr>
              <w:numPr>
                <w:ilvl w:val="0"/>
                <w:numId w:val="67"/>
              </w:numPr>
              <w:ind w:left="1063" w:hanging="426"/>
              <w:contextualSpacing/>
              <w:jc w:val="both"/>
              <w:rPr>
                <w:sz w:val="22"/>
                <w:szCs w:val="22"/>
                <w:lang w:val="es-ES"/>
              </w:rPr>
            </w:pPr>
            <w:r>
              <w:rPr>
                <w:sz w:val="22"/>
                <w:szCs w:val="22"/>
                <w:lang w:val="es-ES"/>
              </w:rPr>
              <w:t>tiene una estrecha</w:t>
            </w:r>
            <w:r>
              <w:rPr>
                <w:rStyle w:val="Refdenotaalpie"/>
                <w:sz w:val="22"/>
                <w:szCs w:val="22"/>
                <w:lang w:val="es-ES"/>
              </w:rPr>
              <w:footnoteReference w:id="5"/>
            </w:r>
            <w:r>
              <w:rPr>
                <w:sz w:val="22"/>
                <w:szCs w:val="22"/>
                <w:lang w:val="es-ES"/>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w:t>
            </w:r>
            <w:r>
              <w:rPr>
                <w:sz w:val="22"/>
                <w:szCs w:val="22"/>
                <w:lang w:val="es-ES"/>
              </w:rPr>
              <w:lastRenderedPageBreak/>
              <w:t>para el Banco durante el proceso de licitación y la ejecución del Contrato.</w:t>
            </w:r>
          </w:p>
          <w:p>
            <w:pPr>
              <w:ind w:left="1063" w:hanging="426"/>
              <w:contextualSpacing/>
              <w:jc w:val="both"/>
              <w:rPr>
                <w:sz w:val="22"/>
                <w:szCs w:val="22"/>
                <w:lang w:val="es-ES"/>
              </w:rPr>
            </w:pPr>
          </w:p>
        </w:tc>
      </w:tr>
      <w:tr>
        <w:trPr>
          <w:jc w:val="center"/>
        </w:trPr>
        <w:tc>
          <w:tcPr>
            <w:tcW w:w="2656" w:type="dxa"/>
          </w:tcPr>
          <w:p>
            <w:pPr>
              <w:pStyle w:val="IAOs"/>
              <w:numPr>
                <w:ilvl w:val="0"/>
                <w:numId w:val="0"/>
              </w:numPr>
              <w:ind w:left="432"/>
              <w:rPr>
                <w:rFonts w:ascii="Times New Roman" w:hAnsi="Times New Roman"/>
                <w:i/>
                <w:sz w:val="24"/>
              </w:rPr>
            </w:pPr>
          </w:p>
        </w:tc>
        <w:tc>
          <w:tcPr>
            <w:tcW w:w="7053" w:type="dxa"/>
          </w:tcPr>
          <w:p>
            <w:pPr>
              <w:pStyle w:val="Sub-ClauseText"/>
              <w:numPr>
                <w:ilvl w:val="1"/>
                <w:numId w:val="181"/>
              </w:numPr>
              <w:overflowPunct/>
              <w:autoSpaceDE/>
              <w:autoSpaceDN/>
              <w:adjustRightInd/>
              <w:spacing w:before="0" w:after="200"/>
              <w:ind w:left="612" w:hanging="537"/>
              <w:textAlignment w:val="auto"/>
              <w:rPr>
                <w:color w:val="000000"/>
                <w:sz w:val="22"/>
                <w:szCs w:val="22"/>
                <w:lang w:val="es-ES"/>
              </w:rPr>
            </w:pPr>
            <w:r>
              <w:rPr>
                <w:color w:val="000000"/>
                <w:sz w:val="22"/>
                <w:szCs w:val="22"/>
                <w:lang w:val="es-ES"/>
              </w:rPr>
              <w:t xml:space="preserve">No es elegible un Oferente si él mismo o sus </w:t>
            </w:r>
            <w:r>
              <w:rPr>
                <w:sz w:val="22"/>
                <w:szCs w:val="22"/>
                <w:lang w:val="es-ES"/>
              </w:rPr>
              <w:t xml:space="preserve">subcontratistas, proveedores, consultores, fabricantes o prestadores de servicios </w:t>
            </w:r>
            <w:r>
              <w:rPr>
                <w:sz w:val="22"/>
                <w:szCs w:val="22"/>
                <w:lang w:val="es-ES" w:bidi="es-ES"/>
              </w:rPr>
              <w:t>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Pr>
                <w:color w:val="000000"/>
                <w:sz w:val="22"/>
                <w:szCs w:val="22"/>
                <w:lang w:val="es-ES"/>
              </w:rPr>
              <w:t xml:space="preserve">. La lista de tales firmas e individuos inelegibles se indica </w:t>
            </w:r>
            <w:r>
              <w:rPr>
                <w:b/>
                <w:color w:val="000000"/>
                <w:sz w:val="22"/>
                <w:szCs w:val="22"/>
                <w:lang w:val="es-ES"/>
              </w:rPr>
              <w:t>en los DDL</w:t>
            </w:r>
            <w:r>
              <w:rPr>
                <w:color w:val="000000"/>
                <w:sz w:val="22"/>
                <w:szCs w:val="22"/>
                <w:lang w:val="es-ES"/>
              </w:rPr>
              <w:t>.</w:t>
            </w:r>
          </w:p>
          <w:p>
            <w:pPr>
              <w:pStyle w:val="Sub-ClauseText"/>
              <w:numPr>
                <w:ilvl w:val="1"/>
                <w:numId w:val="181"/>
              </w:numPr>
              <w:overflowPunct/>
              <w:autoSpaceDE/>
              <w:autoSpaceDN/>
              <w:adjustRightInd/>
              <w:spacing w:before="0" w:after="200"/>
              <w:ind w:left="640" w:hanging="565"/>
              <w:textAlignment w:val="auto"/>
              <w:rPr>
                <w:sz w:val="22"/>
                <w:szCs w:val="22"/>
                <w:lang w:val="es-ES"/>
              </w:rPr>
            </w:pPr>
            <w:r>
              <w:rPr>
                <w:color w:val="000000"/>
                <w:sz w:val="22"/>
                <w:szCs w:val="22"/>
                <w:lang w:val="es-ES"/>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Pr>
                <w:sz w:val="22"/>
                <w:szCs w:val="22"/>
                <w:lang w:val="es-ES"/>
              </w:rPr>
              <w:t>Una firma que no es un Oferente ni un miembro de una APCA puede participar como subcontratista en más de una Oferta.</w:t>
            </w:r>
            <w:r>
              <w:rPr>
                <w:color w:val="000000"/>
                <w:sz w:val="22"/>
                <w:szCs w:val="22"/>
                <w:lang w:val="es-ES"/>
              </w:rPr>
              <w:t xml:space="preserve"> Salvo que se especifique </w:t>
            </w:r>
            <w:r>
              <w:rPr>
                <w:b/>
                <w:color w:val="000000"/>
                <w:sz w:val="22"/>
                <w:szCs w:val="22"/>
                <w:lang w:val="es-ES"/>
              </w:rPr>
              <w:t>en los DDL</w:t>
            </w:r>
            <w:r>
              <w:rPr>
                <w:color w:val="000000"/>
                <w:sz w:val="22"/>
                <w:szCs w:val="22"/>
                <w:lang w:val="es-ES"/>
              </w:rPr>
              <w:t>, no existe límite en el número de miembros de una APCA.</w:t>
            </w:r>
          </w:p>
          <w:p>
            <w:pPr>
              <w:pStyle w:val="Sub-ClauseText"/>
              <w:numPr>
                <w:ilvl w:val="1"/>
                <w:numId w:val="181"/>
              </w:numPr>
              <w:overflowPunct/>
              <w:autoSpaceDE/>
              <w:autoSpaceDN/>
              <w:adjustRightInd/>
              <w:spacing w:before="0" w:after="200"/>
              <w:ind w:left="612" w:hanging="537"/>
              <w:textAlignment w:val="auto"/>
              <w:rPr>
                <w:sz w:val="22"/>
                <w:szCs w:val="22"/>
                <w:lang w:val="es-ES"/>
              </w:rPr>
            </w:pPr>
            <w:r>
              <w:rPr>
                <w:color w:val="000000"/>
                <w:sz w:val="22"/>
                <w:szCs w:val="22"/>
                <w:lang w:val="es-ES"/>
              </w:rPr>
              <w:t xml:space="preserve">Las empresas estatales del país Prestatario serán elegibles solamente si pueden demostrar que (i) tienen autonomía legal y financiera; (ii) operan conforme a las leyes comerciales; y (iii) no dependen de ninguna agencia del Comprador. </w:t>
            </w:r>
          </w:p>
          <w:p>
            <w:pPr>
              <w:pStyle w:val="Sub-ClauseText"/>
              <w:numPr>
                <w:ilvl w:val="1"/>
                <w:numId w:val="181"/>
              </w:numPr>
              <w:overflowPunct/>
              <w:autoSpaceDE/>
              <w:autoSpaceDN/>
              <w:adjustRightInd/>
              <w:spacing w:before="0" w:after="200"/>
              <w:ind w:left="640" w:hanging="565"/>
              <w:textAlignment w:val="auto"/>
              <w:rPr>
                <w:color w:val="000000"/>
                <w:sz w:val="22"/>
                <w:szCs w:val="22"/>
                <w:lang w:val="es-ES"/>
              </w:rPr>
            </w:pPr>
            <w:r>
              <w:rPr>
                <w:bCs/>
                <w:sz w:val="22"/>
                <w:szCs w:val="22"/>
                <w:lang w:val="es-ES"/>
              </w:rPr>
              <w:t xml:space="preserve">Un Oferente no debe estar suspendido por el Comprador para </w:t>
            </w:r>
            <w:r>
              <w:rPr>
                <w:sz w:val="22"/>
                <w:szCs w:val="22"/>
                <w:lang w:val="es-ES"/>
              </w:rPr>
              <w:t>presentar</w:t>
            </w:r>
            <w:r>
              <w:rPr>
                <w:bCs/>
                <w:sz w:val="22"/>
                <w:szCs w:val="22"/>
                <w:lang w:val="es-ES"/>
              </w:rPr>
              <w:t xml:space="preserve"> </w:t>
            </w:r>
            <w:r>
              <w:rPr>
                <w:sz w:val="22"/>
                <w:szCs w:val="22"/>
                <w:lang w:val="es-ES"/>
              </w:rPr>
              <w:t>ofertas</w:t>
            </w:r>
            <w:r>
              <w:rPr>
                <w:bCs/>
                <w:sz w:val="22"/>
                <w:szCs w:val="22"/>
                <w:lang w:val="es-ES"/>
              </w:rPr>
              <w:t xml:space="preserve"> o propuestas como resultado del incumplimiento con una Declaración de Mantenimiento de la Oferta o la Propuesta.</w:t>
            </w:r>
          </w:p>
        </w:tc>
      </w:tr>
      <w:tr>
        <w:trPr>
          <w:jc w:val="center"/>
        </w:trPr>
        <w:tc>
          <w:tcPr>
            <w:tcW w:w="2656" w:type="dxa"/>
          </w:tcPr>
          <w:p>
            <w:pPr>
              <w:pStyle w:val="IAOs"/>
              <w:numPr>
                <w:ilvl w:val="0"/>
                <w:numId w:val="0"/>
              </w:numPr>
              <w:ind w:left="432"/>
              <w:rPr>
                <w:rFonts w:ascii="Times New Roman" w:hAnsi="Times New Roman"/>
                <w:i/>
                <w:sz w:val="24"/>
              </w:rPr>
            </w:pPr>
          </w:p>
        </w:tc>
        <w:tc>
          <w:tcPr>
            <w:tcW w:w="7053" w:type="dxa"/>
          </w:tcPr>
          <w:p>
            <w:pPr>
              <w:pStyle w:val="Sub-ClauseText"/>
              <w:numPr>
                <w:ilvl w:val="1"/>
                <w:numId w:val="181"/>
              </w:numPr>
              <w:overflowPunct/>
              <w:autoSpaceDE/>
              <w:autoSpaceDN/>
              <w:adjustRightInd/>
              <w:spacing w:before="0" w:after="200"/>
              <w:ind w:left="612" w:hanging="537"/>
              <w:textAlignment w:val="auto"/>
              <w:rPr>
                <w:bCs/>
                <w:sz w:val="22"/>
                <w:szCs w:val="22"/>
                <w:lang w:val="es-ES"/>
              </w:rPr>
            </w:pPr>
            <w:r>
              <w:rPr>
                <w:color w:val="000000"/>
                <w:sz w:val="22"/>
                <w:szCs w:val="22"/>
                <w:lang w:val="es-ES"/>
              </w:rPr>
              <w:t>Los Oferentes deberán proporcionar al Comprador evidencia satisfactoria de que continúan siendo elegibles, cuando el Comprador razonablemente la solicite.</w:t>
            </w:r>
          </w:p>
        </w:tc>
      </w:tr>
      <w:tr>
        <w:trPr>
          <w:jc w:val="center"/>
        </w:trPr>
        <w:tc>
          <w:tcPr>
            <w:tcW w:w="2656" w:type="dxa"/>
          </w:tcPr>
          <w:p>
            <w:pPr>
              <w:pStyle w:val="IAOs"/>
              <w:rPr>
                <w:rFonts w:ascii="Times New Roman" w:hAnsi="Times New Roman"/>
                <w:iCs/>
              </w:rPr>
            </w:pPr>
            <w:bookmarkStart w:id="38" w:name="_Toc438532561"/>
            <w:bookmarkStart w:id="39" w:name="_Toc438532562"/>
            <w:bookmarkStart w:id="40" w:name="_Toc438532563"/>
            <w:bookmarkStart w:id="41" w:name="_Toc438532564"/>
            <w:bookmarkStart w:id="42" w:name="_Toc438532565"/>
            <w:bookmarkStart w:id="43" w:name="_Toc438532567"/>
            <w:bookmarkStart w:id="44" w:name="_Toc455487598"/>
            <w:bookmarkStart w:id="45" w:name="_Toc26891418"/>
            <w:bookmarkStart w:id="46" w:name="_Toc175256878"/>
            <w:bookmarkEnd w:id="38"/>
            <w:bookmarkEnd w:id="39"/>
            <w:bookmarkEnd w:id="40"/>
            <w:bookmarkEnd w:id="41"/>
            <w:bookmarkEnd w:id="42"/>
            <w:bookmarkEnd w:id="43"/>
            <w:r>
              <w:rPr>
                <w:rFonts w:ascii="Times New Roman" w:hAnsi="Times New Roman"/>
              </w:rPr>
              <w:t xml:space="preserve">Elegibilidad de los Bienes y </w:t>
            </w:r>
            <w:bookmarkEnd w:id="44"/>
            <w:r>
              <w:rPr>
                <w:rFonts w:ascii="Times New Roman" w:hAnsi="Times New Roman"/>
              </w:rPr>
              <w:t>Servicios</w:t>
            </w:r>
            <w:bookmarkEnd w:id="45"/>
            <w:bookmarkEnd w:id="46"/>
          </w:p>
        </w:tc>
        <w:tc>
          <w:tcPr>
            <w:tcW w:w="7053" w:type="dxa"/>
          </w:tcPr>
          <w:p>
            <w:pPr>
              <w:pStyle w:val="Header2-SubClauses"/>
              <w:tabs>
                <w:tab w:val="clear" w:pos="2844"/>
              </w:tabs>
              <w:ind w:left="501" w:hanging="426"/>
              <w:rPr>
                <w:rFonts w:cs="Times New Roman"/>
                <w:iCs/>
                <w:sz w:val="22"/>
                <w:szCs w:val="22"/>
                <w:lang w:val="es-ES"/>
              </w:rPr>
            </w:pPr>
            <w:r>
              <w:rPr>
                <w:rFonts w:cs="Times New Roman"/>
                <w:iCs/>
                <w:sz w:val="22"/>
                <w:szCs w:val="22"/>
                <w:lang w:val="es-ES"/>
              </w:rPr>
              <w:t xml:space="preserve">Todos los Bienes y Servicios Conexos que hayan de suministrarse de conformidad con el contrato y que sean financiados por el Banco deben tener su origen en cualquier país miembro del Banco de acuerdo con la Sección IV, </w:t>
            </w:r>
            <w:r>
              <w:rPr>
                <w:rFonts w:cs="Times New Roman"/>
                <w:sz w:val="22"/>
                <w:szCs w:val="22"/>
                <w:lang w:val="es-ES"/>
              </w:rPr>
              <w:t>“</w:t>
            </w:r>
            <w:r>
              <w:rPr>
                <w:rFonts w:cs="Times New Roman"/>
                <w:iCs/>
                <w:sz w:val="22"/>
                <w:szCs w:val="22"/>
                <w:lang w:val="es-ES"/>
              </w:rPr>
              <w:t>Países Elegibles</w:t>
            </w:r>
            <w:r>
              <w:rPr>
                <w:rFonts w:cs="Times New Roman"/>
                <w:sz w:val="22"/>
                <w:szCs w:val="22"/>
                <w:lang w:val="es-ES"/>
              </w:rPr>
              <w:t>”</w:t>
            </w:r>
            <w:r>
              <w:rPr>
                <w:rFonts w:cs="Times New Roman"/>
                <w:iCs/>
                <w:sz w:val="22"/>
                <w:szCs w:val="22"/>
                <w:lang w:val="es-ES"/>
              </w:rPr>
              <w:t>, con la excepción de los casos indicados en la IAO 5.1 (a) y (b).</w:t>
            </w:r>
          </w:p>
          <w:p>
            <w:pPr>
              <w:pStyle w:val="Header2-SubClauses"/>
              <w:tabs>
                <w:tab w:val="clear" w:pos="2844"/>
              </w:tabs>
              <w:ind w:left="511" w:hanging="450"/>
              <w:rPr>
                <w:rFonts w:cs="Times New Roman"/>
                <w:iCs/>
                <w:sz w:val="22"/>
                <w:szCs w:val="22"/>
                <w:lang w:val="es-ES"/>
              </w:rPr>
            </w:pPr>
            <w:r>
              <w:rPr>
                <w:rFonts w:cs="Times New Roman"/>
                <w:iCs/>
                <w:sz w:val="22"/>
                <w:szCs w:val="22"/>
                <w:lang w:val="es-ES"/>
              </w:rPr>
              <w:t>Para propósitos de esta instrucción, el término “bienes” incluye mercaderías, materias primas, maquinaria, equipos y plantas industriales; y “servicios conexos” incluye servicios tales como transporte, seguros, instalaciones, puesta en servicio, capacitación y mantenimiento inicial.</w:t>
            </w:r>
          </w:p>
          <w:p>
            <w:pPr>
              <w:pStyle w:val="Header2-SubClauses"/>
              <w:tabs>
                <w:tab w:val="clear" w:pos="2844"/>
              </w:tabs>
              <w:ind w:left="511" w:hanging="450"/>
              <w:rPr>
                <w:rFonts w:cs="Times New Roman"/>
                <w:iCs/>
                <w:sz w:val="22"/>
                <w:szCs w:val="22"/>
                <w:lang w:val="es-ES"/>
              </w:rPr>
            </w:pPr>
            <w:r>
              <w:rPr>
                <w:rFonts w:cs="Times New Roman"/>
                <w:iCs/>
                <w:sz w:val="22"/>
                <w:szCs w:val="22"/>
                <w:lang w:val="es-ES"/>
              </w:rPr>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p>
            <w:pPr>
              <w:pStyle w:val="Header2-SubClauses"/>
              <w:tabs>
                <w:tab w:val="clear" w:pos="2844"/>
              </w:tabs>
              <w:ind w:left="511" w:hanging="450"/>
              <w:rPr>
                <w:rFonts w:cs="Times New Roman"/>
                <w:iCs/>
                <w:sz w:val="22"/>
                <w:szCs w:val="22"/>
                <w:lang w:val="es-ES"/>
              </w:rPr>
            </w:pPr>
            <w:r>
              <w:rPr>
                <w:rFonts w:cs="Times New Roman"/>
                <w:iCs/>
                <w:sz w:val="22"/>
                <w:szCs w:val="22"/>
                <w:lang w:val="es-ES"/>
              </w:rPr>
              <w:t xml:space="preserve">Los criterios para determinar el origen de los bienes y los servicios conexos se encuentran indicados en la Sección IV, </w:t>
            </w:r>
            <w:r>
              <w:rPr>
                <w:rFonts w:cs="Times New Roman"/>
                <w:color w:val="000000"/>
                <w:sz w:val="22"/>
                <w:szCs w:val="22"/>
                <w:lang w:val="es-ES"/>
              </w:rPr>
              <w:t>“</w:t>
            </w:r>
            <w:r>
              <w:rPr>
                <w:rFonts w:cs="Times New Roman"/>
                <w:iCs/>
                <w:sz w:val="22"/>
                <w:szCs w:val="22"/>
                <w:lang w:val="es-ES"/>
              </w:rPr>
              <w:t>Países Elegibles.</w:t>
            </w:r>
            <w:r>
              <w:rPr>
                <w:rFonts w:cs="Times New Roman"/>
                <w:color w:val="000000"/>
                <w:sz w:val="22"/>
                <w:szCs w:val="22"/>
                <w:lang w:val="es-ES"/>
              </w:rPr>
              <w:t>”</w:t>
            </w:r>
            <w:r>
              <w:rPr>
                <w:rFonts w:cs="Times New Roman"/>
                <w:iCs/>
                <w:sz w:val="22"/>
                <w:szCs w:val="22"/>
                <w:lang w:val="es-ES"/>
              </w:rPr>
              <w:t xml:space="preserve"> </w:t>
            </w:r>
          </w:p>
        </w:tc>
      </w:tr>
      <w:tr>
        <w:trPr>
          <w:jc w:val="center"/>
        </w:trPr>
        <w:tc>
          <w:tcPr>
            <w:tcW w:w="9709" w:type="dxa"/>
            <w:gridSpan w:val="2"/>
          </w:tcPr>
          <w:p>
            <w:pPr>
              <w:pStyle w:val="Subsecciones"/>
              <w:rPr>
                <w:rFonts w:ascii="Times New Roman" w:hAnsi="Times New Roman"/>
              </w:rPr>
            </w:pPr>
            <w:bookmarkStart w:id="47" w:name="_Toc438532569"/>
            <w:bookmarkStart w:id="48" w:name="_Toc438532572"/>
            <w:bookmarkStart w:id="49" w:name="_Toc438438825"/>
            <w:bookmarkStart w:id="50" w:name="_Toc438532573"/>
            <w:bookmarkStart w:id="51" w:name="_Toc438733969"/>
            <w:bookmarkStart w:id="52" w:name="_Toc438962051"/>
            <w:bookmarkStart w:id="53" w:name="_Toc461939617"/>
            <w:bookmarkStart w:id="54" w:name="_Toc97371007"/>
            <w:bookmarkStart w:id="55" w:name="_Toc325723922"/>
            <w:bookmarkStart w:id="56" w:name="_Toc440526015"/>
            <w:bookmarkStart w:id="57" w:name="_Toc435624816"/>
            <w:bookmarkStart w:id="58" w:name="_Toc26891419"/>
            <w:bookmarkStart w:id="59" w:name="_Toc175256879"/>
            <w:bookmarkEnd w:id="47"/>
            <w:bookmarkEnd w:id="48"/>
            <w:r>
              <w:rPr>
                <w:rFonts w:ascii="Times New Roman" w:hAnsi="Times New Roman"/>
              </w:rPr>
              <w:lastRenderedPageBreak/>
              <w:t xml:space="preserve">Contenido del </w:t>
            </w:r>
            <w:bookmarkEnd w:id="49"/>
            <w:bookmarkEnd w:id="50"/>
            <w:bookmarkEnd w:id="51"/>
            <w:bookmarkEnd w:id="52"/>
            <w:bookmarkEnd w:id="53"/>
            <w:r>
              <w:rPr>
                <w:rFonts w:ascii="Times New Roman" w:hAnsi="Times New Roman"/>
              </w:rPr>
              <w:t xml:space="preserve">Documento de </w:t>
            </w:r>
            <w:bookmarkEnd w:id="54"/>
            <w:bookmarkEnd w:id="55"/>
            <w:bookmarkEnd w:id="56"/>
            <w:bookmarkEnd w:id="57"/>
            <w:r>
              <w:rPr>
                <w:rFonts w:ascii="Times New Roman" w:hAnsi="Times New Roman"/>
              </w:rPr>
              <w:t>Solicitud de Ofertas</w:t>
            </w:r>
            <w:bookmarkEnd w:id="58"/>
            <w:bookmarkEnd w:id="59"/>
          </w:p>
        </w:tc>
      </w:tr>
      <w:tr>
        <w:trPr>
          <w:jc w:val="center"/>
        </w:trPr>
        <w:tc>
          <w:tcPr>
            <w:tcW w:w="2656" w:type="dxa"/>
          </w:tcPr>
          <w:p>
            <w:pPr>
              <w:pStyle w:val="IAOs"/>
              <w:rPr>
                <w:rFonts w:ascii="Times New Roman" w:hAnsi="Times New Roman"/>
              </w:rPr>
            </w:pPr>
            <w:bookmarkStart w:id="60" w:name="_Toc438438826"/>
            <w:bookmarkStart w:id="61" w:name="_Toc438532574"/>
            <w:bookmarkStart w:id="62" w:name="_Toc438733970"/>
            <w:bookmarkStart w:id="63" w:name="_Toc438907010"/>
            <w:bookmarkStart w:id="64" w:name="_Toc438907209"/>
            <w:bookmarkStart w:id="65" w:name="_Toc97371008"/>
            <w:bookmarkStart w:id="66" w:name="_Toc139863108"/>
            <w:bookmarkStart w:id="67" w:name="_Toc325723923"/>
            <w:bookmarkStart w:id="68" w:name="_Toc440526016"/>
            <w:bookmarkStart w:id="69" w:name="_Toc435624817"/>
            <w:bookmarkStart w:id="70" w:name="_Toc455487599"/>
            <w:bookmarkStart w:id="71" w:name="_Toc26891420"/>
            <w:bookmarkStart w:id="72" w:name="_Toc175256880"/>
            <w:r>
              <w:rPr>
                <w:rFonts w:ascii="Times New Roman" w:hAnsi="Times New Roman"/>
              </w:rPr>
              <w:t xml:space="preserve">Secciones del </w:t>
            </w:r>
            <w:bookmarkEnd w:id="60"/>
            <w:bookmarkEnd w:id="61"/>
            <w:bookmarkEnd w:id="62"/>
            <w:bookmarkEnd w:id="63"/>
            <w:bookmarkEnd w:id="64"/>
            <w:r>
              <w:rPr>
                <w:rFonts w:ascii="Times New Roman" w:hAnsi="Times New Roman"/>
              </w:rPr>
              <w:t xml:space="preserve">Documento de </w:t>
            </w:r>
            <w:bookmarkEnd w:id="65"/>
            <w:bookmarkEnd w:id="66"/>
            <w:bookmarkEnd w:id="67"/>
            <w:bookmarkEnd w:id="68"/>
            <w:bookmarkEnd w:id="69"/>
            <w:bookmarkEnd w:id="70"/>
            <w:r>
              <w:rPr>
                <w:rFonts w:ascii="Times New Roman" w:hAnsi="Times New Roman"/>
              </w:rPr>
              <w:t>Licitación</w:t>
            </w:r>
            <w:bookmarkEnd w:id="71"/>
            <w:bookmarkEnd w:id="72"/>
          </w:p>
        </w:tc>
        <w:tc>
          <w:tcPr>
            <w:tcW w:w="7053" w:type="dxa"/>
          </w:tcPr>
          <w:p>
            <w:pPr>
              <w:pStyle w:val="Header2-SubClauses"/>
              <w:tabs>
                <w:tab w:val="clear" w:pos="2844"/>
              </w:tabs>
              <w:ind w:left="601" w:hanging="450"/>
              <w:rPr>
                <w:rFonts w:cs="Times New Roman"/>
                <w:sz w:val="22"/>
                <w:szCs w:val="22"/>
                <w:lang w:val="es-ES"/>
              </w:rPr>
            </w:pPr>
            <w:r>
              <w:rPr>
                <w:rFonts w:cs="Times New Roman"/>
                <w:sz w:val="22"/>
                <w:szCs w:val="22"/>
                <w:lang w:val="es-ES"/>
              </w:rPr>
              <w:t>El documento de licitación consta de las partes primera, segunda y tercera, que comprenden las secciones indicadas a continuación, y debe leerse junto con cualquier enmienda que se formule de conformidad con la IAO 9.</w:t>
            </w:r>
          </w:p>
          <w:p>
            <w:pPr>
              <w:tabs>
                <w:tab w:val="left" w:pos="1422"/>
              </w:tabs>
              <w:spacing w:line="276" w:lineRule="auto"/>
              <w:ind w:left="522"/>
              <w:rPr>
                <w:b/>
                <w:sz w:val="22"/>
                <w:szCs w:val="22"/>
                <w:lang w:val="es-ES"/>
              </w:rPr>
            </w:pPr>
            <w:r>
              <w:rPr>
                <w:b/>
                <w:sz w:val="22"/>
                <w:szCs w:val="22"/>
                <w:lang w:val="es-ES"/>
              </w:rPr>
              <w:t>PRIMERA PARTE - Procedimientos de Licitación</w:t>
            </w:r>
          </w:p>
          <w:p>
            <w:pPr>
              <w:pStyle w:val="Prrafodelista"/>
              <w:numPr>
                <w:ilvl w:val="0"/>
                <w:numId w:val="26"/>
              </w:numPr>
              <w:spacing w:line="276" w:lineRule="auto"/>
              <w:ind w:left="1239" w:right="690" w:hanging="567"/>
              <w:rPr>
                <w:sz w:val="22"/>
                <w:szCs w:val="22"/>
                <w:lang w:val="es-ES"/>
              </w:rPr>
            </w:pPr>
            <w:r>
              <w:rPr>
                <w:sz w:val="22"/>
                <w:szCs w:val="22"/>
                <w:lang w:val="es-ES"/>
              </w:rPr>
              <w:t>Sección I. Instrucciones a los Oferentes (IAO)</w:t>
            </w:r>
          </w:p>
          <w:p>
            <w:pPr>
              <w:pStyle w:val="Prrafodelista"/>
              <w:numPr>
                <w:ilvl w:val="0"/>
                <w:numId w:val="26"/>
              </w:numPr>
              <w:spacing w:line="276" w:lineRule="auto"/>
              <w:ind w:left="1239" w:right="690" w:hanging="567"/>
              <w:rPr>
                <w:sz w:val="22"/>
                <w:szCs w:val="22"/>
                <w:lang w:val="es-ES"/>
              </w:rPr>
            </w:pPr>
            <w:r>
              <w:rPr>
                <w:sz w:val="22"/>
                <w:szCs w:val="22"/>
                <w:lang w:val="es-ES"/>
              </w:rPr>
              <w:t>Sección II. Datos de la Licitación (DDL)</w:t>
            </w:r>
          </w:p>
          <w:p>
            <w:pPr>
              <w:pStyle w:val="Prrafodelista"/>
              <w:numPr>
                <w:ilvl w:val="0"/>
                <w:numId w:val="26"/>
              </w:numPr>
              <w:spacing w:line="276" w:lineRule="auto"/>
              <w:ind w:left="1239" w:right="690" w:hanging="567"/>
              <w:rPr>
                <w:sz w:val="22"/>
                <w:szCs w:val="22"/>
                <w:lang w:val="es-ES"/>
              </w:rPr>
            </w:pPr>
            <w:r>
              <w:rPr>
                <w:sz w:val="22"/>
                <w:szCs w:val="22"/>
                <w:lang w:val="es-ES"/>
              </w:rPr>
              <w:t xml:space="preserve">Sección III. Criterios de Evaluación y Calificación </w:t>
            </w:r>
          </w:p>
          <w:p>
            <w:pPr>
              <w:pStyle w:val="Prrafodelista"/>
              <w:numPr>
                <w:ilvl w:val="0"/>
                <w:numId w:val="26"/>
              </w:numPr>
              <w:spacing w:line="276" w:lineRule="auto"/>
              <w:ind w:left="1239" w:right="690" w:hanging="567"/>
              <w:rPr>
                <w:sz w:val="22"/>
                <w:szCs w:val="22"/>
                <w:lang w:val="es-ES"/>
              </w:rPr>
            </w:pPr>
            <w:r>
              <w:rPr>
                <w:sz w:val="22"/>
                <w:szCs w:val="22"/>
                <w:lang w:val="es-ES"/>
              </w:rPr>
              <w:t xml:space="preserve">Sección IV. Países Elegibles </w:t>
            </w:r>
          </w:p>
          <w:p>
            <w:pPr>
              <w:pStyle w:val="Prrafodelista"/>
              <w:numPr>
                <w:ilvl w:val="0"/>
                <w:numId w:val="26"/>
              </w:numPr>
              <w:spacing w:line="276" w:lineRule="auto"/>
              <w:ind w:left="1239" w:right="690" w:hanging="567"/>
              <w:rPr>
                <w:sz w:val="22"/>
                <w:szCs w:val="22"/>
                <w:lang w:val="es-ES"/>
              </w:rPr>
            </w:pPr>
            <w:r>
              <w:rPr>
                <w:sz w:val="22"/>
                <w:szCs w:val="22"/>
                <w:lang w:val="es-ES"/>
              </w:rPr>
              <w:t>Sección V. Formularios de la Oferta</w:t>
            </w:r>
          </w:p>
          <w:p>
            <w:pPr>
              <w:tabs>
                <w:tab w:val="left" w:pos="1422"/>
              </w:tabs>
              <w:spacing w:line="276" w:lineRule="auto"/>
              <w:jc w:val="both"/>
              <w:rPr>
                <w:b/>
                <w:sz w:val="22"/>
                <w:szCs w:val="22"/>
                <w:lang w:val="es-ES"/>
              </w:rPr>
            </w:pPr>
          </w:p>
          <w:p>
            <w:pPr>
              <w:tabs>
                <w:tab w:val="left" w:pos="1422"/>
              </w:tabs>
              <w:spacing w:line="276" w:lineRule="auto"/>
              <w:ind w:left="522"/>
              <w:rPr>
                <w:iCs/>
                <w:sz w:val="22"/>
                <w:szCs w:val="22"/>
                <w:lang w:val="es-ES"/>
              </w:rPr>
            </w:pPr>
            <w:r>
              <w:rPr>
                <w:b/>
                <w:sz w:val="22"/>
                <w:szCs w:val="22"/>
                <w:lang w:val="es-ES"/>
              </w:rPr>
              <w:t>SEGUNDA PARTE - Requisitos de los Bienes y Servicios Conexos</w:t>
            </w:r>
          </w:p>
          <w:p>
            <w:pPr>
              <w:pStyle w:val="Prrafodelista"/>
              <w:numPr>
                <w:ilvl w:val="0"/>
                <w:numId w:val="26"/>
              </w:numPr>
              <w:spacing w:line="276" w:lineRule="auto"/>
              <w:ind w:left="1239" w:right="1334" w:hanging="567"/>
              <w:jc w:val="both"/>
              <w:rPr>
                <w:sz w:val="22"/>
                <w:szCs w:val="22"/>
                <w:lang w:val="es-ES"/>
              </w:rPr>
            </w:pPr>
            <w:r>
              <w:rPr>
                <w:sz w:val="22"/>
                <w:szCs w:val="22"/>
                <w:lang w:val="es-ES"/>
              </w:rPr>
              <w:t>Sección VI. Requisitos de los Bienes y Servicios Conexos</w:t>
            </w:r>
          </w:p>
          <w:p>
            <w:pPr>
              <w:tabs>
                <w:tab w:val="left" w:pos="1422"/>
              </w:tabs>
              <w:spacing w:line="276" w:lineRule="auto"/>
              <w:ind w:left="522"/>
              <w:rPr>
                <w:b/>
                <w:sz w:val="22"/>
                <w:szCs w:val="22"/>
                <w:lang w:val="es-ES"/>
              </w:rPr>
            </w:pPr>
          </w:p>
          <w:p>
            <w:pPr>
              <w:tabs>
                <w:tab w:val="left" w:pos="1422"/>
              </w:tabs>
              <w:spacing w:line="276" w:lineRule="auto"/>
              <w:ind w:left="522"/>
              <w:rPr>
                <w:b/>
                <w:sz w:val="22"/>
                <w:szCs w:val="22"/>
                <w:lang w:val="es-ES"/>
              </w:rPr>
            </w:pPr>
            <w:r>
              <w:rPr>
                <w:b/>
                <w:sz w:val="22"/>
                <w:szCs w:val="22"/>
                <w:lang w:val="es-ES"/>
              </w:rPr>
              <w:t>TERCERA PARTE - Condiciones Contractuales y Formularios del Contrato</w:t>
            </w:r>
          </w:p>
          <w:p>
            <w:pPr>
              <w:pStyle w:val="Prrafodelista"/>
              <w:numPr>
                <w:ilvl w:val="0"/>
                <w:numId w:val="26"/>
              </w:numPr>
              <w:spacing w:line="276" w:lineRule="auto"/>
              <w:ind w:left="1239" w:right="1334" w:hanging="567"/>
              <w:rPr>
                <w:sz w:val="22"/>
                <w:szCs w:val="22"/>
                <w:lang w:val="es-ES"/>
              </w:rPr>
            </w:pPr>
            <w:r>
              <w:rPr>
                <w:sz w:val="22"/>
                <w:szCs w:val="22"/>
                <w:lang w:val="es-ES"/>
              </w:rPr>
              <w:t>Sección VII. Condiciones Generales del Contrato (CGC)</w:t>
            </w:r>
          </w:p>
          <w:p>
            <w:pPr>
              <w:pStyle w:val="Prrafodelista"/>
              <w:numPr>
                <w:ilvl w:val="0"/>
                <w:numId w:val="26"/>
              </w:numPr>
              <w:spacing w:line="276" w:lineRule="auto"/>
              <w:ind w:left="1239" w:right="953" w:hanging="567"/>
              <w:rPr>
                <w:sz w:val="22"/>
                <w:szCs w:val="22"/>
                <w:lang w:val="es-ES"/>
              </w:rPr>
            </w:pPr>
            <w:r>
              <w:rPr>
                <w:sz w:val="22"/>
                <w:szCs w:val="22"/>
                <w:lang w:val="es-ES"/>
              </w:rPr>
              <w:t>Sección VIII. Condiciones Especiales del Contrato (CEC)</w:t>
            </w:r>
          </w:p>
          <w:p>
            <w:pPr>
              <w:pStyle w:val="Prrafodelista"/>
              <w:numPr>
                <w:ilvl w:val="0"/>
                <w:numId w:val="26"/>
              </w:numPr>
              <w:spacing w:line="276" w:lineRule="auto"/>
              <w:ind w:left="1239" w:right="1334" w:hanging="567"/>
              <w:rPr>
                <w:sz w:val="22"/>
                <w:szCs w:val="22"/>
                <w:lang w:val="es-ES"/>
              </w:rPr>
            </w:pPr>
            <w:r>
              <w:rPr>
                <w:sz w:val="22"/>
                <w:szCs w:val="22"/>
                <w:lang w:val="es-ES"/>
              </w:rPr>
              <w:t xml:space="preserve">Sección IX. Formularios del Contrato </w:t>
            </w:r>
          </w:p>
          <w:p>
            <w:pPr>
              <w:spacing w:line="276" w:lineRule="auto"/>
              <w:ind w:right="1334"/>
              <w:jc w:val="both"/>
              <w:rPr>
                <w:sz w:val="22"/>
                <w:szCs w:val="22"/>
                <w:lang w:val="es-ES"/>
              </w:rPr>
            </w:pPr>
          </w:p>
        </w:tc>
      </w:tr>
      <w:tr>
        <w:trPr>
          <w:jc w:val="center"/>
        </w:trPr>
        <w:tc>
          <w:tcPr>
            <w:tcW w:w="2656" w:type="dxa"/>
          </w:tcPr>
          <w:p>
            <w:pPr>
              <w:pStyle w:val="IAOs"/>
              <w:numPr>
                <w:ilvl w:val="0"/>
                <w:numId w:val="0"/>
              </w:numPr>
              <w:ind w:left="432"/>
              <w:rPr>
                <w:rFonts w:ascii="Times New Roman" w:hAnsi="Times New Roman"/>
              </w:rPr>
            </w:pPr>
          </w:p>
        </w:tc>
        <w:tc>
          <w:tcPr>
            <w:tcW w:w="7053" w:type="dxa"/>
          </w:tcPr>
          <w:p>
            <w:pPr>
              <w:pStyle w:val="Header2-SubClauses"/>
              <w:tabs>
                <w:tab w:val="clear" w:pos="2844"/>
              </w:tabs>
              <w:ind w:left="601" w:hanging="450"/>
              <w:rPr>
                <w:rFonts w:cs="Times New Roman"/>
                <w:i/>
                <w:sz w:val="22"/>
                <w:szCs w:val="22"/>
                <w:lang w:val="es-ES"/>
              </w:rPr>
            </w:pPr>
            <w:r>
              <w:rPr>
                <w:rFonts w:cs="Times New Roman"/>
                <w:sz w:val="22"/>
                <w:szCs w:val="22"/>
                <w:lang w:val="es-ES"/>
              </w:rPr>
              <w:t>El Anuncio Específico de Adquisiciones publicado por el Comprador para esta Solicitud de Ofertas (SDO) no forma parte del presente documento de licitación.</w:t>
            </w:r>
          </w:p>
        </w:tc>
      </w:tr>
      <w:tr>
        <w:trPr>
          <w:jc w:val="center"/>
        </w:trPr>
        <w:tc>
          <w:tcPr>
            <w:tcW w:w="2656" w:type="dxa"/>
          </w:tcPr>
          <w:p>
            <w:pPr>
              <w:pStyle w:val="IAOs"/>
              <w:numPr>
                <w:ilvl w:val="0"/>
                <w:numId w:val="0"/>
              </w:numPr>
              <w:ind w:left="432"/>
              <w:rPr>
                <w:rFonts w:ascii="Times New Roman" w:hAnsi="Times New Roman"/>
              </w:rPr>
            </w:pPr>
          </w:p>
        </w:tc>
        <w:tc>
          <w:tcPr>
            <w:tcW w:w="7053" w:type="dxa"/>
          </w:tcPr>
          <w:p>
            <w:pPr>
              <w:pStyle w:val="Header2-SubClauses"/>
              <w:tabs>
                <w:tab w:val="clear" w:pos="2844"/>
              </w:tabs>
              <w:ind w:left="601" w:hanging="450"/>
              <w:rPr>
                <w:rFonts w:cs="Times New Roman"/>
                <w:sz w:val="22"/>
                <w:szCs w:val="22"/>
                <w:lang w:val="es-ES"/>
              </w:rPr>
            </w:pPr>
            <w:r>
              <w:rPr>
                <w:rFonts w:cs="Times New Roman"/>
                <w:sz w:val="22"/>
                <w:szCs w:val="22"/>
                <w:lang w:val="es-ES"/>
              </w:rPr>
              <w:t>Salvo que los documentos sean obtenidos directamente del Comprador, este no es responsable del grado de integridad del Documento de Licitación, las respuestas a los pedidos de aclaración, las actas de la reunión previa a la licitación (si la hubiera) o las enmiendas al Documento de Licitación, con arreglo a lo dispuesto en la IAO 9. En caso de contradicción, prevalecerán los documentos obtenidos directamente del Comprador.</w:t>
            </w:r>
          </w:p>
        </w:tc>
      </w:tr>
      <w:tr>
        <w:trPr>
          <w:jc w:val="center"/>
        </w:trPr>
        <w:tc>
          <w:tcPr>
            <w:tcW w:w="2656" w:type="dxa"/>
          </w:tcPr>
          <w:p>
            <w:pPr>
              <w:pStyle w:val="IAOs"/>
              <w:numPr>
                <w:ilvl w:val="0"/>
                <w:numId w:val="0"/>
              </w:numPr>
              <w:ind w:left="432"/>
              <w:rPr>
                <w:rFonts w:ascii="Times New Roman" w:hAnsi="Times New Roman"/>
              </w:rPr>
            </w:pPr>
          </w:p>
        </w:tc>
        <w:tc>
          <w:tcPr>
            <w:tcW w:w="7053" w:type="dxa"/>
          </w:tcPr>
          <w:p>
            <w:pPr>
              <w:pStyle w:val="Header2-SubClauses"/>
              <w:tabs>
                <w:tab w:val="clear" w:pos="2844"/>
              </w:tabs>
              <w:ind w:left="601" w:hanging="450"/>
              <w:rPr>
                <w:rFonts w:cs="Times New Roman"/>
                <w:sz w:val="22"/>
                <w:szCs w:val="22"/>
                <w:lang w:val="es-ES"/>
              </w:rPr>
            </w:pPr>
            <w:r>
              <w:rPr>
                <w:rFonts w:cs="Times New Roman"/>
                <w:sz w:val="22"/>
                <w:szCs w:val="22"/>
                <w:lang w:val="es-ES"/>
              </w:rPr>
              <w:t>Los Oferentes deberán estudiar todas las instrucciones, formularios, condiciones y especificaciones contenidas en el Documento de Licitación. El incumplimiento por parte del Oferente del suministro de toda la información o documentación que se exige en el documento de licitación podría traer como consecuencia el rechazo de su Oferta.</w:t>
            </w:r>
          </w:p>
        </w:tc>
      </w:tr>
      <w:tr>
        <w:trPr>
          <w:jc w:val="center"/>
        </w:trPr>
        <w:tc>
          <w:tcPr>
            <w:tcW w:w="2656" w:type="dxa"/>
          </w:tcPr>
          <w:p>
            <w:pPr>
              <w:pStyle w:val="IAOs"/>
              <w:rPr>
                <w:rFonts w:ascii="Times New Roman" w:hAnsi="Times New Roman"/>
              </w:rPr>
            </w:pPr>
            <w:bookmarkStart w:id="73" w:name="_Toc438438827"/>
            <w:bookmarkStart w:id="74" w:name="_Toc438532575"/>
            <w:bookmarkStart w:id="75" w:name="_Toc438733971"/>
            <w:bookmarkStart w:id="76" w:name="_Toc438907011"/>
            <w:bookmarkStart w:id="77" w:name="_Toc438907210"/>
            <w:bookmarkStart w:id="78" w:name="_Toc97371009"/>
            <w:bookmarkStart w:id="79" w:name="_Toc139863109"/>
            <w:bookmarkStart w:id="80" w:name="_Toc325723924"/>
            <w:bookmarkStart w:id="81" w:name="_Toc440526017"/>
            <w:bookmarkStart w:id="82" w:name="_Toc435624818"/>
            <w:bookmarkStart w:id="83" w:name="_Toc455487600"/>
            <w:bookmarkStart w:id="84" w:name="_Toc26891421"/>
            <w:bookmarkStart w:id="85" w:name="_Toc175256881"/>
            <w:r>
              <w:rPr>
                <w:rFonts w:ascii="Times New Roman" w:hAnsi="Times New Roman"/>
              </w:rPr>
              <w:t>Aclaraciones al Documento</w:t>
            </w:r>
            <w:bookmarkEnd w:id="73"/>
            <w:bookmarkEnd w:id="74"/>
            <w:bookmarkEnd w:id="75"/>
            <w:bookmarkEnd w:id="76"/>
            <w:bookmarkEnd w:id="77"/>
            <w:bookmarkEnd w:id="78"/>
            <w:bookmarkEnd w:id="79"/>
            <w:bookmarkEnd w:id="80"/>
            <w:bookmarkEnd w:id="81"/>
            <w:bookmarkEnd w:id="82"/>
            <w:bookmarkEnd w:id="83"/>
            <w:r>
              <w:rPr>
                <w:rFonts w:ascii="Times New Roman" w:hAnsi="Times New Roman"/>
              </w:rPr>
              <w:t xml:space="preserve"> de Licitación</w:t>
            </w:r>
            <w:bookmarkEnd w:id="84"/>
            <w:bookmarkEnd w:id="85"/>
          </w:p>
        </w:tc>
        <w:tc>
          <w:tcPr>
            <w:tcW w:w="7053" w:type="dxa"/>
          </w:tcPr>
          <w:p>
            <w:pPr>
              <w:pStyle w:val="Header2-SubClauses"/>
              <w:tabs>
                <w:tab w:val="clear" w:pos="2844"/>
              </w:tabs>
              <w:ind w:left="601" w:hanging="450"/>
              <w:rPr>
                <w:rFonts w:cs="Times New Roman"/>
                <w:sz w:val="22"/>
                <w:szCs w:val="22"/>
                <w:lang w:val="es-ES"/>
              </w:rPr>
            </w:pPr>
            <w:r>
              <w:rPr>
                <w:rFonts w:cs="Times New Roman"/>
                <w:sz w:val="22"/>
                <w:szCs w:val="22"/>
                <w:lang w:val="es-ES"/>
              </w:rPr>
              <w:t xml:space="preserve">Todo Oferente potencial que requiera alguna aclaración sobre el documento de licitación deberá comunicarse con el Comprador por escrito a la dirección del Comprador que se suministra </w:t>
            </w:r>
            <w:r>
              <w:rPr>
                <w:rFonts w:cs="Times New Roman"/>
                <w:b/>
                <w:bCs/>
                <w:sz w:val="22"/>
                <w:szCs w:val="22"/>
                <w:lang w:val="es-ES"/>
              </w:rPr>
              <w:t>en los DDL</w:t>
            </w:r>
            <w:r>
              <w:rPr>
                <w:rFonts w:cs="Times New Roman"/>
                <w:sz w:val="22"/>
                <w:szCs w:val="22"/>
                <w:lang w:val="es-ES"/>
              </w:rPr>
              <w:t xml:space="preserve">. El Comprador responderá por escrito a todas las solicitudes de aclaración, siempre que dichas solicitudes sean recibidas al menos siete (7) días antes de la fecha límite para la presentación de ofertas.  El Comprador enviará copia de las respuestas, incluyendo una descripción de las </w:t>
            </w:r>
            <w:r>
              <w:rPr>
                <w:rFonts w:cs="Times New Roman"/>
                <w:sz w:val="22"/>
                <w:szCs w:val="22"/>
                <w:lang w:val="es-ES"/>
              </w:rPr>
              <w:lastRenderedPageBreak/>
              <w:t xml:space="preserve">consultas realizadas, sin identificar su fuente, a todos los que hubiesen adquirido el documento de licitación según lo dispuesto en la IAO 7.3 directamente del Comprador. Si así se especifica </w:t>
            </w:r>
            <w:r>
              <w:rPr>
                <w:rFonts w:cs="Times New Roman"/>
                <w:b/>
                <w:sz w:val="22"/>
                <w:szCs w:val="22"/>
                <w:lang w:val="es-ES"/>
              </w:rPr>
              <w:t>en los DDL</w:t>
            </w:r>
            <w:r>
              <w:rPr>
                <w:rFonts w:cs="Times New Roman"/>
                <w:sz w:val="22"/>
                <w:szCs w:val="22"/>
                <w:lang w:val="es-ES"/>
              </w:rPr>
              <w:t xml:space="preserve">, el Comprador también publicará sin demora su respuesta en la página web mencionada </w:t>
            </w:r>
            <w:r>
              <w:rPr>
                <w:rFonts w:cs="Times New Roman"/>
                <w:b/>
                <w:sz w:val="22"/>
                <w:szCs w:val="22"/>
                <w:lang w:val="es-ES"/>
              </w:rPr>
              <w:t>en los DDL.</w:t>
            </w:r>
            <w:r>
              <w:rPr>
                <w:rFonts w:cs="Times New Roman"/>
                <w:sz w:val="22"/>
                <w:szCs w:val="22"/>
                <w:lang w:val="es-ES"/>
              </w:rPr>
              <w:t xml:space="preserve"> En caso de que la aclaración llevara aparejados cambios en los elementos esenciales del documento de licitación, el Comprador lo modificará siguiendo el procedimiento que se describe en las IAO 9.</w:t>
            </w:r>
          </w:p>
        </w:tc>
      </w:tr>
      <w:tr>
        <w:trPr>
          <w:trHeight w:val="846"/>
          <w:jc w:val="center"/>
        </w:trPr>
        <w:tc>
          <w:tcPr>
            <w:tcW w:w="2656" w:type="dxa"/>
          </w:tcPr>
          <w:p>
            <w:pPr>
              <w:pStyle w:val="IAOs"/>
              <w:rPr>
                <w:rFonts w:ascii="Times New Roman" w:hAnsi="Times New Roman"/>
              </w:rPr>
            </w:pPr>
            <w:bookmarkStart w:id="86" w:name="_Toc438438828"/>
            <w:bookmarkStart w:id="87" w:name="_Toc438532576"/>
            <w:bookmarkStart w:id="88" w:name="_Toc438733972"/>
            <w:bookmarkStart w:id="89" w:name="_Toc438907012"/>
            <w:bookmarkStart w:id="90" w:name="_Toc438907211"/>
            <w:bookmarkStart w:id="91" w:name="_Toc97371010"/>
            <w:bookmarkStart w:id="92" w:name="_Toc139863110"/>
            <w:bookmarkStart w:id="93" w:name="_Toc325723925"/>
            <w:bookmarkStart w:id="94" w:name="_Toc440526018"/>
            <w:bookmarkStart w:id="95" w:name="_Toc435624819"/>
            <w:bookmarkStart w:id="96" w:name="_Toc455487601"/>
            <w:bookmarkStart w:id="97" w:name="_Toc26891422"/>
            <w:bookmarkStart w:id="98" w:name="_Toc175256882"/>
            <w:r>
              <w:rPr>
                <w:rFonts w:ascii="Times New Roman" w:hAnsi="Times New Roman"/>
              </w:rPr>
              <w:lastRenderedPageBreak/>
              <w:t xml:space="preserve">Enmienda al Documento de </w:t>
            </w:r>
            <w:bookmarkEnd w:id="86"/>
            <w:bookmarkEnd w:id="87"/>
            <w:bookmarkEnd w:id="88"/>
            <w:bookmarkEnd w:id="89"/>
            <w:bookmarkEnd w:id="90"/>
            <w:bookmarkEnd w:id="91"/>
            <w:bookmarkEnd w:id="92"/>
            <w:bookmarkEnd w:id="93"/>
            <w:bookmarkEnd w:id="94"/>
            <w:bookmarkEnd w:id="95"/>
            <w:bookmarkEnd w:id="96"/>
            <w:r>
              <w:rPr>
                <w:rFonts w:ascii="Times New Roman" w:hAnsi="Times New Roman"/>
              </w:rPr>
              <w:t>Licitación</w:t>
            </w:r>
            <w:bookmarkEnd w:id="97"/>
            <w:bookmarkEnd w:id="98"/>
          </w:p>
        </w:tc>
        <w:tc>
          <w:tcPr>
            <w:tcW w:w="7053" w:type="dxa"/>
          </w:tcPr>
          <w:p>
            <w:pPr>
              <w:pStyle w:val="Header2-SubClauses"/>
              <w:tabs>
                <w:tab w:val="clear" w:pos="2844"/>
              </w:tabs>
              <w:ind w:left="601" w:hanging="450"/>
              <w:rPr>
                <w:rFonts w:cs="Times New Roman"/>
                <w:sz w:val="22"/>
                <w:szCs w:val="22"/>
                <w:lang w:val="es-ES"/>
              </w:rPr>
            </w:pPr>
            <w:r>
              <w:rPr>
                <w:rFonts w:cs="Times New Roman"/>
                <w:sz w:val="22"/>
                <w:szCs w:val="22"/>
                <w:lang w:val="es-ES"/>
              </w:rPr>
              <w:t xml:space="preserve">El Comprador podrá, en cualquier momento antes de que venza el plazo de presentación de Ofertas, modificar el documento de licitación mediante la publicación de enmiendas. </w:t>
            </w:r>
          </w:p>
        </w:tc>
      </w:tr>
      <w:tr>
        <w:trPr>
          <w:jc w:val="center"/>
        </w:trPr>
        <w:tc>
          <w:tcPr>
            <w:tcW w:w="2656" w:type="dxa"/>
          </w:tcPr>
          <w:p>
            <w:pPr>
              <w:pStyle w:val="IAOs"/>
              <w:numPr>
                <w:ilvl w:val="0"/>
                <w:numId w:val="0"/>
              </w:numPr>
              <w:ind w:left="432"/>
              <w:rPr>
                <w:rFonts w:ascii="Times New Roman" w:hAnsi="Times New Roman"/>
              </w:rPr>
            </w:pPr>
          </w:p>
        </w:tc>
        <w:tc>
          <w:tcPr>
            <w:tcW w:w="7053" w:type="dxa"/>
          </w:tcPr>
          <w:p>
            <w:pPr>
              <w:pStyle w:val="Header2-SubClauses"/>
              <w:tabs>
                <w:tab w:val="clear" w:pos="2844"/>
              </w:tabs>
              <w:ind w:left="601" w:hanging="450"/>
              <w:rPr>
                <w:rFonts w:cs="Times New Roman"/>
                <w:sz w:val="22"/>
                <w:szCs w:val="22"/>
                <w:lang w:val="es-ES"/>
              </w:rPr>
            </w:pPr>
            <w:r>
              <w:rPr>
                <w:rFonts w:cs="Times New Roman"/>
                <w:sz w:val="22"/>
                <w:szCs w:val="22"/>
                <w:lang w:val="es-ES"/>
              </w:rPr>
              <w:t>Todas las enmiendas publicadas formarán parte del documento de licitación y se comunicarán por escrito a todos los interesados que hayan obtenido el Documento de Licitación del Comprador de acuerdo con lo dispuesto en la IAO 7.3. Asimismo, el Comprador publicará sin demora la enmienda en su página web, con arreglo a la IAO 8.1.</w:t>
            </w:r>
          </w:p>
        </w:tc>
      </w:tr>
      <w:tr>
        <w:trPr>
          <w:jc w:val="center"/>
        </w:trPr>
        <w:tc>
          <w:tcPr>
            <w:tcW w:w="2656" w:type="dxa"/>
          </w:tcPr>
          <w:p>
            <w:pPr>
              <w:pStyle w:val="IAOs"/>
              <w:numPr>
                <w:ilvl w:val="0"/>
                <w:numId w:val="0"/>
              </w:numPr>
              <w:ind w:left="432"/>
              <w:rPr>
                <w:rFonts w:ascii="Times New Roman" w:hAnsi="Times New Roman"/>
              </w:rPr>
            </w:pPr>
          </w:p>
        </w:tc>
        <w:tc>
          <w:tcPr>
            <w:tcW w:w="7053" w:type="dxa"/>
          </w:tcPr>
          <w:p>
            <w:pPr>
              <w:pStyle w:val="Header2-SubClauses"/>
              <w:tabs>
                <w:tab w:val="clear" w:pos="2844"/>
              </w:tabs>
              <w:ind w:left="601" w:hanging="450"/>
              <w:rPr>
                <w:rFonts w:cs="Times New Roman"/>
                <w:sz w:val="22"/>
                <w:szCs w:val="22"/>
                <w:lang w:val="es-ES"/>
              </w:rPr>
            </w:pPr>
            <w:r>
              <w:rPr>
                <w:rFonts w:cs="Times New Roman"/>
                <w:sz w:val="22"/>
                <w:szCs w:val="22"/>
                <w:lang w:val="es-ES"/>
              </w:rPr>
              <w:t>A fin de dar a los posibles Oferentes un plazo razonable para que puedan tomar en cuenta la enmienda para la preparación de sus Ofertas, el Comprador podrá, a su discreción, prorrogar el plazo de presentación de Ofertas con arreglo a la IAO 23.2.</w:t>
            </w:r>
          </w:p>
        </w:tc>
      </w:tr>
      <w:tr>
        <w:trPr>
          <w:jc w:val="center"/>
        </w:trPr>
        <w:tc>
          <w:tcPr>
            <w:tcW w:w="9709" w:type="dxa"/>
            <w:gridSpan w:val="2"/>
          </w:tcPr>
          <w:p>
            <w:pPr>
              <w:pStyle w:val="Subsecciones"/>
              <w:rPr>
                <w:rFonts w:ascii="Times New Roman" w:hAnsi="Times New Roman"/>
                <w:szCs w:val="22"/>
              </w:rPr>
            </w:pPr>
            <w:bookmarkStart w:id="99" w:name="_Toc438438829"/>
            <w:bookmarkStart w:id="100" w:name="_Toc438532577"/>
            <w:bookmarkStart w:id="101" w:name="_Toc438733973"/>
            <w:bookmarkStart w:id="102" w:name="_Toc438962055"/>
            <w:bookmarkStart w:id="103" w:name="_Toc461939618"/>
            <w:bookmarkStart w:id="104" w:name="_Toc97371011"/>
            <w:bookmarkStart w:id="105" w:name="_Toc325723926"/>
            <w:bookmarkStart w:id="106" w:name="_Toc440526019"/>
            <w:bookmarkStart w:id="107" w:name="_Toc435624820"/>
            <w:bookmarkStart w:id="108" w:name="_Toc26891423"/>
            <w:bookmarkStart w:id="109" w:name="_Toc175256883"/>
            <w:r>
              <w:rPr>
                <w:rFonts w:ascii="Times New Roman" w:hAnsi="Times New Roman"/>
                <w:szCs w:val="22"/>
              </w:rPr>
              <w:t>Preparación de las Ofertas</w:t>
            </w:r>
            <w:bookmarkEnd w:id="99"/>
            <w:bookmarkEnd w:id="100"/>
            <w:bookmarkEnd w:id="101"/>
            <w:bookmarkEnd w:id="102"/>
            <w:bookmarkEnd w:id="103"/>
            <w:bookmarkEnd w:id="104"/>
            <w:bookmarkEnd w:id="105"/>
            <w:bookmarkEnd w:id="106"/>
            <w:bookmarkEnd w:id="107"/>
            <w:bookmarkEnd w:id="108"/>
            <w:bookmarkEnd w:id="109"/>
          </w:p>
        </w:tc>
      </w:tr>
      <w:tr>
        <w:trPr>
          <w:jc w:val="center"/>
        </w:trPr>
        <w:tc>
          <w:tcPr>
            <w:tcW w:w="2656" w:type="dxa"/>
          </w:tcPr>
          <w:p>
            <w:pPr>
              <w:pStyle w:val="IAOs"/>
              <w:rPr>
                <w:rFonts w:ascii="Times New Roman" w:hAnsi="Times New Roman"/>
              </w:rPr>
            </w:pPr>
            <w:bookmarkStart w:id="110" w:name="_Toc438438830"/>
            <w:bookmarkStart w:id="111" w:name="_Toc438532578"/>
            <w:bookmarkStart w:id="112" w:name="_Toc438733974"/>
            <w:bookmarkStart w:id="113" w:name="_Toc438907013"/>
            <w:bookmarkStart w:id="114" w:name="_Toc438907212"/>
            <w:bookmarkStart w:id="115" w:name="_Toc97371012"/>
            <w:bookmarkStart w:id="116" w:name="_Toc139863111"/>
            <w:bookmarkStart w:id="117" w:name="_Toc325723927"/>
            <w:bookmarkStart w:id="118" w:name="_Toc440526020"/>
            <w:bookmarkStart w:id="119" w:name="_Toc435624821"/>
            <w:bookmarkStart w:id="120" w:name="_Toc455487602"/>
            <w:bookmarkStart w:id="121" w:name="_Toc26891424"/>
            <w:bookmarkStart w:id="122" w:name="_Toc175256884"/>
            <w:r>
              <w:rPr>
                <w:rFonts w:ascii="Times New Roman" w:hAnsi="Times New Roman"/>
              </w:rPr>
              <w:t>Costo de la Oferta</w:t>
            </w:r>
            <w:bookmarkEnd w:id="110"/>
            <w:bookmarkEnd w:id="111"/>
            <w:bookmarkEnd w:id="112"/>
            <w:bookmarkEnd w:id="113"/>
            <w:bookmarkEnd w:id="114"/>
            <w:bookmarkEnd w:id="115"/>
            <w:bookmarkEnd w:id="116"/>
            <w:bookmarkEnd w:id="117"/>
            <w:bookmarkEnd w:id="118"/>
            <w:bookmarkEnd w:id="119"/>
            <w:bookmarkEnd w:id="120"/>
            <w:bookmarkEnd w:id="121"/>
            <w:bookmarkEnd w:id="122"/>
          </w:p>
        </w:tc>
        <w:tc>
          <w:tcPr>
            <w:tcW w:w="7053" w:type="dxa"/>
          </w:tcPr>
          <w:p>
            <w:pPr>
              <w:pStyle w:val="Header2-SubClauses"/>
              <w:tabs>
                <w:tab w:val="clear" w:pos="2844"/>
              </w:tabs>
              <w:ind w:left="691" w:hanging="540"/>
              <w:rPr>
                <w:rFonts w:cs="Times New Roman"/>
                <w:sz w:val="22"/>
                <w:szCs w:val="22"/>
                <w:lang w:val="es-ES"/>
              </w:rPr>
            </w:pPr>
            <w:r>
              <w:rPr>
                <w:rFonts w:cs="Times New Roman"/>
                <w:sz w:val="22"/>
                <w:szCs w:val="22"/>
                <w:lang w:val="es-ES"/>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trPr>
          <w:jc w:val="center"/>
        </w:trPr>
        <w:tc>
          <w:tcPr>
            <w:tcW w:w="2656" w:type="dxa"/>
          </w:tcPr>
          <w:p>
            <w:pPr>
              <w:pStyle w:val="IAOs"/>
              <w:rPr>
                <w:rFonts w:ascii="Times New Roman" w:hAnsi="Times New Roman"/>
              </w:rPr>
            </w:pPr>
            <w:bookmarkStart w:id="123" w:name="_Toc438438831"/>
            <w:bookmarkStart w:id="124" w:name="_Toc438532579"/>
            <w:bookmarkStart w:id="125" w:name="_Toc438733975"/>
            <w:bookmarkStart w:id="126" w:name="_Toc438907014"/>
            <w:bookmarkStart w:id="127" w:name="_Toc438907213"/>
            <w:bookmarkStart w:id="128" w:name="_Toc97371013"/>
            <w:bookmarkStart w:id="129" w:name="_Toc139863112"/>
            <w:bookmarkStart w:id="130" w:name="_Toc325723928"/>
            <w:bookmarkStart w:id="131" w:name="_Toc440526021"/>
            <w:bookmarkStart w:id="132" w:name="_Toc435624822"/>
            <w:bookmarkStart w:id="133" w:name="_Toc455487603"/>
            <w:bookmarkStart w:id="134" w:name="_Toc26891425"/>
            <w:bookmarkStart w:id="135" w:name="_Toc175256885"/>
            <w:r>
              <w:rPr>
                <w:rFonts w:ascii="Times New Roman" w:hAnsi="Times New Roman"/>
              </w:rPr>
              <w:t>Idioma de la Oferta</w:t>
            </w:r>
            <w:bookmarkEnd w:id="123"/>
            <w:bookmarkEnd w:id="124"/>
            <w:bookmarkEnd w:id="125"/>
            <w:bookmarkEnd w:id="126"/>
            <w:bookmarkEnd w:id="127"/>
            <w:bookmarkEnd w:id="128"/>
            <w:bookmarkEnd w:id="129"/>
            <w:bookmarkEnd w:id="130"/>
            <w:bookmarkEnd w:id="131"/>
            <w:bookmarkEnd w:id="132"/>
            <w:bookmarkEnd w:id="133"/>
            <w:bookmarkEnd w:id="134"/>
            <w:bookmarkEnd w:id="135"/>
          </w:p>
        </w:tc>
        <w:tc>
          <w:tcPr>
            <w:tcW w:w="7053" w:type="dxa"/>
          </w:tcPr>
          <w:p>
            <w:pPr>
              <w:pStyle w:val="Header2-SubClauses"/>
              <w:tabs>
                <w:tab w:val="clear" w:pos="2844"/>
              </w:tabs>
              <w:ind w:left="739" w:hanging="588"/>
              <w:rPr>
                <w:rFonts w:cs="Times New Roman"/>
                <w:sz w:val="22"/>
                <w:szCs w:val="22"/>
                <w:lang w:val="es-ES"/>
              </w:rPr>
            </w:pPr>
            <w:r>
              <w:rPr>
                <w:rFonts w:cs="Times New Roman"/>
                <w:sz w:val="22"/>
                <w:szCs w:val="22"/>
                <w:lang w:val="es-ES"/>
              </w:rPr>
              <w:t xml:space="preserve">La Oferta, toda la correspondencia y los documentos relativos a ella que intercambien el Oferente y el Comprador deberán redactarse en el idioma que se indica </w:t>
            </w:r>
            <w:r>
              <w:rPr>
                <w:rFonts w:cs="Times New Roman"/>
                <w:b/>
                <w:sz w:val="22"/>
                <w:szCs w:val="22"/>
                <w:lang w:val="es-ES"/>
              </w:rPr>
              <w:t>en los DDL</w:t>
            </w:r>
            <w:r>
              <w:rPr>
                <w:rFonts w:cs="Times New Roman"/>
                <w:sz w:val="22"/>
                <w:szCs w:val="22"/>
                <w:lang w:val="es-ES"/>
              </w:rPr>
              <w:t xml:space="preserve">. Los documentos de respaldo y el material impreso que formen parte de la Oferta podrán estar escritos en otro idioma, siempre que vayan acompañados de una traducción fidedigna de las secciones pertinentes al idioma que se especifica </w:t>
            </w:r>
            <w:r>
              <w:rPr>
                <w:rFonts w:cs="Times New Roman"/>
                <w:b/>
                <w:sz w:val="22"/>
                <w:szCs w:val="22"/>
                <w:lang w:val="es-ES"/>
              </w:rPr>
              <w:t>en los DDL</w:t>
            </w:r>
            <w:r>
              <w:rPr>
                <w:rFonts w:cs="Times New Roman"/>
                <w:sz w:val="22"/>
                <w:szCs w:val="22"/>
                <w:lang w:val="es-ES"/>
              </w:rPr>
              <w:t xml:space="preserve">, en cuyo caso la traducción prevalecerá en lo que respecta a la interpretación de la Oferta. </w:t>
            </w:r>
          </w:p>
        </w:tc>
      </w:tr>
      <w:tr>
        <w:trPr>
          <w:jc w:val="center"/>
        </w:trPr>
        <w:tc>
          <w:tcPr>
            <w:tcW w:w="2656" w:type="dxa"/>
          </w:tcPr>
          <w:p>
            <w:pPr>
              <w:pStyle w:val="IAOs"/>
              <w:rPr>
                <w:rFonts w:ascii="Times New Roman" w:hAnsi="Times New Roman"/>
              </w:rPr>
            </w:pPr>
            <w:bookmarkStart w:id="136" w:name="_Toc438438832"/>
            <w:bookmarkStart w:id="137" w:name="_Toc438532580"/>
            <w:bookmarkStart w:id="138" w:name="_Toc438733976"/>
            <w:bookmarkStart w:id="139" w:name="_Toc438907015"/>
            <w:bookmarkStart w:id="140" w:name="_Toc438907214"/>
            <w:bookmarkStart w:id="141" w:name="_Toc97371014"/>
            <w:bookmarkStart w:id="142" w:name="_Toc139863113"/>
            <w:bookmarkStart w:id="143" w:name="_Toc325723929"/>
            <w:bookmarkStart w:id="144" w:name="_Toc440526022"/>
            <w:bookmarkStart w:id="145" w:name="_Toc435624823"/>
            <w:bookmarkStart w:id="146" w:name="_Toc455487604"/>
            <w:bookmarkStart w:id="147" w:name="_Toc26891426"/>
            <w:bookmarkStart w:id="148" w:name="_Toc175256886"/>
            <w:r>
              <w:rPr>
                <w:rFonts w:ascii="Times New Roman" w:hAnsi="Times New Roman"/>
              </w:rPr>
              <w:t>Documentos que Componen la Oferta</w:t>
            </w:r>
            <w:bookmarkEnd w:id="136"/>
            <w:bookmarkEnd w:id="137"/>
            <w:bookmarkEnd w:id="138"/>
            <w:bookmarkEnd w:id="139"/>
            <w:bookmarkEnd w:id="140"/>
            <w:bookmarkEnd w:id="141"/>
            <w:bookmarkEnd w:id="142"/>
            <w:bookmarkEnd w:id="143"/>
            <w:bookmarkEnd w:id="144"/>
            <w:bookmarkEnd w:id="145"/>
            <w:bookmarkEnd w:id="146"/>
            <w:bookmarkEnd w:id="147"/>
            <w:bookmarkEnd w:id="148"/>
          </w:p>
        </w:tc>
        <w:tc>
          <w:tcPr>
            <w:tcW w:w="7053" w:type="dxa"/>
          </w:tcPr>
          <w:p>
            <w:pPr>
              <w:pStyle w:val="Header2-SubClauses"/>
              <w:ind w:left="637" w:hanging="567"/>
              <w:rPr>
                <w:rFonts w:cs="Times New Roman"/>
                <w:sz w:val="22"/>
                <w:szCs w:val="22"/>
                <w:lang w:val="es-ES"/>
              </w:rPr>
            </w:pPr>
            <w:r>
              <w:rPr>
                <w:rFonts w:cs="Times New Roman"/>
                <w:sz w:val="22"/>
                <w:szCs w:val="22"/>
                <w:lang w:val="es-ES"/>
              </w:rPr>
              <w:t xml:space="preserve">La Oferta deberá contener los siguientes documentos: </w:t>
            </w:r>
          </w:p>
          <w:p>
            <w:pPr>
              <w:pStyle w:val="P3Header1-Clauses"/>
              <w:numPr>
                <w:ilvl w:val="0"/>
                <w:numId w:val="19"/>
              </w:numPr>
              <w:ind w:left="1063" w:hanging="426"/>
              <w:rPr>
                <w:sz w:val="22"/>
                <w:szCs w:val="22"/>
                <w:lang w:val="es-ES"/>
              </w:rPr>
            </w:pPr>
            <w:r>
              <w:rPr>
                <w:b/>
                <w:sz w:val="22"/>
                <w:szCs w:val="22"/>
                <w:lang w:val="es-ES"/>
              </w:rPr>
              <w:t xml:space="preserve">Carta de Oferta, </w:t>
            </w:r>
            <w:r>
              <w:rPr>
                <w:sz w:val="22"/>
                <w:szCs w:val="22"/>
                <w:lang w:val="es-ES"/>
              </w:rPr>
              <w:t>preparada con arreglo a la IAO 13;</w:t>
            </w:r>
          </w:p>
          <w:p>
            <w:pPr>
              <w:pStyle w:val="P3Header1-Clauses"/>
              <w:numPr>
                <w:ilvl w:val="0"/>
                <w:numId w:val="19"/>
              </w:numPr>
              <w:ind w:left="1063" w:hanging="426"/>
              <w:rPr>
                <w:sz w:val="22"/>
                <w:szCs w:val="22"/>
                <w:lang w:val="es-ES"/>
              </w:rPr>
            </w:pPr>
            <w:r>
              <w:rPr>
                <w:b/>
                <w:bCs/>
                <w:sz w:val="22"/>
                <w:szCs w:val="22"/>
                <w:lang w:val="es-ES"/>
              </w:rPr>
              <w:t>Lista de Precios</w:t>
            </w:r>
            <w:r>
              <w:rPr>
                <w:sz w:val="22"/>
                <w:szCs w:val="22"/>
                <w:lang w:val="es-ES"/>
              </w:rPr>
              <w:t xml:space="preserve">: completas de acuerdo con IAO 13 e IAO 15; </w:t>
            </w:r>
          </w:p>
          <w:p>
            <w:pPr>
              <w:pStyle w:val="P3Header1-Clauses"/>
              <w:numPr>
                <w:ilvl w:val="0"/>
                <w:numId w:val="19"/>
              </w:numPr>
              <w:ind w:left="1063" w:hanging="426"/>
              <w:rPr>
                <w:sz w:val="22"/>
                <w:szCs w:val="22"/>
                <w:lang w:val="es-ES"/>
              </w:rPr>
            </w:pPr>
            <w:r>
              <w:rPr>
                <w:b/>
                <w:sz w:val="22"/>
                <w:szCs w:val="22"/>
                <w:lang w:val="es-ES"/>
              </w:rPr>
              <w:t xml:space="preserve">Garantía de </w:t>
            </w:r>
            <w:r>
              <w:rPr>
                <w:b/>
                <w:spacing w:val="-2"/>
                <w:sz w:val="22"/>
                <w:szCs w:val="22"/>
                <w:lang w:val="es-ES"/>
              </w:rPr>
              <w:t>Mantenimiento</w:t>
            </w:r>
            <w:r>
              <w:rPr>
                <w:b/>
                <w:sz w:val="22"/>
                <w:szCs w:val="22"/>
                <w:lang w:val="es-ES"/>
              </w:rPr>
              <w:t xml:space="preserve"> de la Oferta o Declaración de Mantenimiento de la Oferta</w:t>
            </w:r>
            <w:r>
              <w:rPr>
                <w:sz w:val="22"/>
                <w:szCs w:val="22"/>
                <w:lang w:val="es-ES"/>
              </w:rPr>
              <w:t>, conforme a lo dispuesto en la IAO 20.1;</w:t>
            </w:r>
          </w:p>
          <w:p>
            <w:pPr>
              <w:pStyle w:val="P3Header1-Clauses"/>
              <w:numPr>
                <w:ilvl w:val="0"/>
                <w:numId w:val="19"/>
              </w:numPr>
              <w:ind w:left="1063" w:hanging="426"/>
              <w:rPr>
                <w:sz w:val="22"/>
                <w:szCs w:val="22"/>
                <w:lang w:val="es-ES"/>
              </w:rPr>
            </w:pPr>
            <w:r>
              <w:rPr>
                <w:b/>
                <w:bCs/>
                <w:sz w:val="22"/>
                <w:szCs w:val="22"/>
                <w:lang w:val="es-ES"/>
              </w:rPr>
              <w:t>Oferta Alternativa</w:t>
            </w:r>
            <w:r>
              <w:rPr>
                <w:sz w:val="22"/>
                <w:szCs w:val="22"/>
                <w:lang w:val="es-ES"/>
              </w:rPr>
              <w:t>: si es permitida de conformidad con la IAO 14;</w:t>
            </w:r>
          </w:p>
          <w:p>
            <w:pPr>
              <w:pStyle w:val="P3Header1-Clauses"/>
              <w:numPr>
                <w:ilvl w:val="0"/>
                <w:numId w:val="19"/>
              </w:numPr>
              <w:ind w:left="1063" w:hanging="426"/>
              <w:rPr>
                <w:sz w:val="22"/>
                <w:szCs w:val="22"/>
                <w:lang w:val="es-ES"/>
              </w:rPr>
            </w:pPr>
            <w:r>
              <w:rPr>
                <w:b/>
                <w:bCs/>
                <w:sz w:val="22"/>
                <w:szCs w:val="22"/>
                <w:lang w:val="es-ES"/>
              </w:rPr>
              <w:t>Autorización</w:t>
            </w:r>
            <w:r>
              <w:rPr>
                <w:sz w:val="22"/>
                <w:szCs w:val="22"/>
                <w:lang w:val="es-ES"/>
              </w:rPr>
              <w:t xml:space="preserve"> escrita que autorice al firmante de la Oferta a comprometer al Oferente, de conformidad con la IAO 21.3;</w:t>
            </w:r>
          </w:p>
          <w:p>
            <w:pPr>
              <w:pStyle w:val="P3Header1-Clauses"/>
              <w:numPr>
                <w:ilvl w:val="0"/>
                <w:numId w:val="19"/>
              </w:numPr>
              <w:ind w:left="1063" w:hanging="426"/>
              <w:rPr>
                <w:sz w:val="22"/>
                <w:szCs w:val="22"/>
                <w:lang w:val="es-ES"/>
              </w:rPr>
            </w:pPr>
            <w:r>
              <w:rPr>
                <w:b/>
                <w:bCs/>
                <w:sz w:val="22"/>
                <w:szCs w:val="22"/>
                <w:lang w:val="es-ES"/>
              </w:rPr>
              <w:lastRenderedPageBreak/>
              <w:t>Elegibilidad de los Bienes y Servicios Conexos</w:t>
            </w:r>
            <w:r>
              <w:rPr>
                <w:sz w:val="22"/>
                <w:szCs w:val="22"/>
                <w:lang w:val="es-ES"/>
              </w:rPr>
              <w:t>: prueba documental, de conformidad con la IAO 17, que certifique que los Bienes y Servicios Conexos que proporcionará el Oferente son de origen elegible;</w:t>
            </w:r>
          </w:p>
          <w:p>
            <w:pPr>
              <w:pStyle w:val="P3Header1-Clauses"/>
              <w:numPr>
                <w:ilvl w:val="0"/>
                <w:numId w:val="19"/>
              </w:numPr>
              <w:ind w:left="1063" w:hanging="426"/>
              <w:rPr>
                <w:sz w:val="22"/>
                <w:szCs w:val="22"/>
                <w:lang w:val="es-ES"/>
              </w:rPr>
            </w:pPr>
            <w:r>
              <w:rPr>
                <w:b/>
                <w:bCs/>
                <w:sz w:val="22"/>
                <w:szCs w:val="22"/>
                <w:lang w:val="es-ES"/>
              </w:rPr>
              <w:t>Elegibilidad del Oferente</w:t>
            </w:r>
            <w:r>
              <w:rPr>
                <w:sz w:val="22"/>
                <w:szCs w:val="22"/>
                <w:lang w:val="es-ES"/>
              </w:rPr>
              <w:t xml:space="preserve">: prueba documental de conformidad con la IAO 18.2, que establezca que el Oferente es elegible para presentar una oferta; </w:t>
            </w:r>
          </w:p>
          <w:p>
            <w:pPr>
              <w:pStyle w:val="P3Header1-Clauses"/>
              <w:numPr>
                <w:ilvl w:val="0"/>
                <w:numId w:val="19"/>
              </w:numPr>
              <w:ind w:left="1063" w:hanging="426"/>
              <w:rPr>
                <w:sz w:val="22"/>
                <w:szCs w:val="22"/>
                <w:lang w:val="es-ES"/>
              </w:rPr>
            </w:pPr>
            <w:r>
              <w:rPr>
                <w:b/>
                <w:bCs/>
                <w:sz w:val="22"/>
                <w:szCs w:val="22"/>
                <w:lang w:val="es-ES"/>
              </w:rPr>
              <w:t>Cumplimiento de las disposiciones</w:t>
            </w:r>
            <w:r>
              <w:rPr>
                <w:sz w:val="22"/>
                <w:szCs w:val="22"/>
                <w:lang w:val="es-ES"/>
              </w:rPr>
              <w:t xml:space="preserve">: prueba documental de conformidad con las IAO 17 y 31, que establezca que los Bienes y Servicios Conexos se ajustan sustancialmente al documento de licitación; </w:t>
            </w:r>
          </w:p>
          <w:p>
            <w:pPr>
              <w:pStyle w:val="P3Header1-Clauses"/>
              <w:numPr>
                <w:ilvl w:val="0"/>
                <w:numId w:val="19"/>
              </w:numPr>
              <w:ind w:left="1063" w:hanging="426"/>
              <w:rPr>
                <w:sz w:val="22"/>
                <w:szCs w:val="22"/>
                <w:lang w:val="es-ES"/>
              </w:rPr>
            </w:pPr>
            <w:r>
              <w:rPr>
                <w:b/>
                <w:bCs/>
                <w:sz w:val="22"/>
                <w:szCs w:val="22"/>
                <w:lang w:val="es-ES"/>
              </w:rPr>
              <w:t>Calificaciones:</w:t>
            </w:r>
            <w:r>
              <w:rPr>
                <w:sz w:val="22"/>
                <w:szCs w:val="22"/>
                <w:lang w:val="es-ES"/>
              </w:rPr>
              <w:t xml:space="preserve"> prueba documental, de conformidad con la IAO 17, que establezca que el Oferente está calificado para ejecutar el Contrato en caso que su oferta sea aceptada; y</w:t>
            </w:r>
          </w:p>
          <w:p>
            <w:pPr>
              <w:pStyle w:val="P3Header1-Clauses"/>
              <w:numPr>
                <w:ilvl w:val="0"/>
                <w:numId w:val="19"/>
              </w:numPr>
              <w:ind w:left="1063" w:hanging="426"/>
              <w:rPr>
                <w:sz w:val="22"/>
                <w:szCs w:val="22"/>
                <w:lang w:val="es-ES"/>
              </w:rPr>
            </w:pPr>
            <w:r>
              <w:rPr>
                <w:sz w:val="22"/>
                <w:szCs w:val="22"/>
                <w:lang w:val="es-ES"/>
              </w:rPr>
              <w:t xml:space="preserve">cualquier otro documento requerido </w:t>
            </w:r>
            <w:r>
              <w:rPr>
                <w:b/>
                <w:bCs/>
                <w:sz w:val="22"/>
                <w:szCs w:val="22"/>
                <w:lang w:val="es-ES"/>
              </w:rPr>
              <w:t>en los DDL</w:t>
            </w:r>
            <w:r>
              <w:rPr>
                <w:sz w:val="22"/>
                <w:szCs w:val="22"/>
                <w:lang w:val="es-ES"/>
              </w:rPr>
              <w:t>.</w:t>
            </w:r>
          </w:p>
          <w:p>
            <w:pPr>
              <w:pStyle w:val="Header2-SubClauses"/>
              <w:tabs>
                <w:tab w:val="clear" w:pos="2844"/>
              </w:tabs>
              <w:ind w:left="637" w:hanging="567"/>
              <w:rPr>
                <w:rFonts w:cs="Times New Roman"/>
                <w:sz w:val="22"/>
                <w:szCs w:val="22"/>
                <w:lang w:val="es-ES"/>
              </w:rPr>
            </w:pPr>
            <w:r>
              <w:rPr>
                <w:rFonts w:cs="Times New Roman"/>
                <w:sz w:val="22"/>
                <w:szCs w:val="22"/>
                <w:lang w:val="es-ES"/>
              </w:rPr>
              <w:t>Además de los requisitos previstos en la IAO 12.1,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pPr>
              <w:pStyle w:val="Header2-SubClauses"/>
              <w:tabs>
                <w:tab w:val="clear" w:pos="2844"/>
              </w:tabs>
              <w:ind w:left="637" w:hanging="567"/>
              <w:rPr>
                <w:rFonts w:cs="Times New Roman"/>
                <w:sz w:val="22"/>
                <w:szCs w:val="22"/>
                <w:lang w:val="es-ES"/>
              </w:rPr>
            </w:pPr>
            <w:r>
              <w:rPr>
                <w:rFonts w:cs="Times New Roman"/>
                <w:sz w:val="22"/>
                <w:szCs w:val="22"/>
                <w:lang w:val="es-ES"/>
              </w:rPr>
              <w:t>El Oferente proporcionará, en la Carta de Oferta información sobre las comisiones y las gratificaciones, si las hubiera, pagadas o pagaderas a los agentes o a cualquier otra parte relacionada con esta Oferta.</w:t>
            </w:r>
          </w:p>
        </w:tc>
      </w:tr>
      <w:tr>
        <w:trPr>
          <w:jc w:val="center"/>
        </w:trPr>
        <w:tc>
          <w:tcPr>
            <w:tcW w:w="2656" w:type="dxa"/>
          </w:tcPr>
          <w:p>
            <w:pPr>
              <w:pStyle w:val="IAOs"/>
              <w:rPr>
                <w:rFonts w:ascii="Times New Roman" w:hAnsi="Times New Roman"/>
              </w:rPr>
            </w:pPr>
            <w:bookmarkStart w:id="149" w:name="_Toc455487605"/>
            <w:bookmarkStart w:id="150" w:name="_Toc139863114"/>
            <w:bookmarkStart w:id="151" w:name="_Toc325723930"/>
            <w:bookmarkStart w:id="152" w:name="_Toc440526023"/>
            <w:bookmarkStart w:id="153" w:name="_Toc435624824"/>
            <w:bookmarkStart w:id="154" w:name="_Toc26891427"/>
            <w:bookmarkStart w:id="155" w:name="_Toc175256887"/>
            <w:r>
              <w:rPr>
                <w:rFonts w:ascii="Times New Roman" w:hAnsi="Times New Roman"/>
              </w:rPr>
              <w:lastRenderedPageBreak/>
              <w:t xml:space="preserve">Carta de Oferta y </w:t>
            </w:r>
            <w:bookmarkEnd w:id="149"/>
            <w:bookmarkEnd w:id="150"/>
            <w:bookmarkEnd w:id="151"/>
            <w:bookmarkEnd w:id="152"/>
            <w:bookmarkEnd w:id="153"/>
            <w:r>
              <w:rPr>
                <w:rFonts w:ascii="Times New Roman" w:hAnsi="Times New Roman"/>
              </w:rPr>
              <w:t>Listas de Precios</w:t>
            </w:r>
            <w:bookmarkEnd w:id="154"/>
            <w:bookmarkEnd w:id="155"/>
          </w:p>
        </w:tc>
        <w:tc>
          <w:tcPr>
            <w:tcW w:w="7053" w:type="dxa"/>
          </w:tcPr>
          <w:p>
            <w:pPr>
              <w:pStyle w:val="Header2-SubClauses"/>
              <w:tabs>
                <w:tab w:val="clear" w:pos="2844"/>
              </w:tabs>
              <w:ind w:left="620" w:hanging="634"/>
              <w:rPr>
                <w:rFonts w:cs="Times New Roman"/>
                <w:sz w:val="22"/>
                <w:szCs w:val="22"/>
                <w:lang w:val="es-ES"/>
              </w:rPr>
            </w:pPr>
            <w:r>
              <w:rPr>
                <w:rFonts w:cs="Times New Roman"/>
                <w:sz w:val="22"/>
                <w:szCs w:val="22"/>
                <w:lang w:val="es-ES"/>
              </w:rPr>
              <w:t>El Oferente presentará la Carta de Oferta utilizando el formulario suministrado en la Sección V, “Formularios de la Oferta”. Los formularios se deben completar sin alterar el texto, y no se admitirá que sean alterados por otros, salvo lo dispuesto en la IAO 21.3. Todos los espacios en blanco se completarán con la información requerida.</w:t>
            </w:r>
          </w:p>
        </w:tc>
      </w:tr>
      <w:tr>
        <w:trPr>
          <w:jc w:val="center"/>
        </w:trPr>
        <w:tc>
          <w:tcPr>
            <w:tcW w:w="2656" w:type="dxa"/>
          </w:tcPr>
          <w:p>
            <w:pPr>
              <w:pStyle w:val="IAOs"/>
              <w:rPr>
                <w:rFonts w:ascii="Times New Roman" w:hAnsi="Times New Roman"/>
              </w:rPr>
            </w:pPr>
            <w:bookmarkStart w:id="156" w:name="_Toc438438834"/>
            <w:bookmarkStart w:id="157" w:name="_Toc438532587"/>
            <w:bookmarkStart w:id="158" w:name="_Toc438733978"/>
            <w:bookmarkStart w:id="159" w:name="_Toc438907017"/>
            <w:bookmarkStart w:id="160" w:name="_Toc438907216"/>
            <w:bookmarkStart w:id="161" w:name="_Toc97371016"/>
            <w:bookmarkStart w:id="162" w:name="_Toc139863115"/>
            <w:bookmarkStart w:id="163" w:name="_Toc325723931"/>
            <w:bookmarkStart w:id="164" w:name="_Toc440526024"/>
            <w:bookmarkStart w:id="165" w:name="_Toc435624825"/>
            <w:bookmarkStart w:id="166" w:name="_Toc455487606"/>
            <w:bookmarkStart w:id="167" w:name="_Toc26891428"/>
            <w:bookmarkStart w:id="168" w:name="_Toc175256888"/>
            <w:r>
              <w:rPr>
                <w:rFonts w:ascii="Times New Roman" w:hAnsi="Times New Roman"/>
              </w:rPr>
              <w:t xml:space="preserve">Ofertas </w:t>
            </w:r>
            <w:bookmarkEnd w:id="156"/>
            <w:bookmarkEnd w:id="157"/>
            <w:bookmarkEnd w:id="158"/>
            <w:bookmarkEnd w:id="159"/>
            <w:bookmarkEnd w:id="160"/>
            <w:bookmarkEnd w:id="161"/>
            <w:bookmarkEnd w:id="162"/>
            <w:bookmarkEnd w:id="163"/>
            <w:bookmarkEnd w:id="164"/>
            <w:bookmarkEnd w:id="165"/>
            <w:bookmarkEnd w:id="166"/>
            <w:r>
              <w:rPr>
                <w:rFonts w:ascii="Times New Roman" w:hAnsi="Times New Roman"/>
              </w:rPr>
              <w:t>Alternativas</w:t>
            </w:r>
            <w:bookmarkEnd w:id="167"/>
            <w:bookmarkEnd w:id="168"/>
          </w:p>
        </w:tc>
        <w:tc>
          <w:tcPr>
            <w:tcW w:w="7053" w:type="dxa"/>
          </w:tcPr>
          <w:p>
            <w:pPr>
              <w:pStyle w:val="Header2-SubClauses"/>
              <w:tabs>
                <w:tab w:val="num" w:pos="601"/>
              </w:tabs>
              <w:ind w:left="620" w:hanging="634"/>
              <w:rPr>
                <w:rFonts w:cs="Times New Roman"/>
                <w:sz w:val="22"/>
                <w:szCs w:val="22"/>
                <w:lang w:val="es-ES"/>
              </w:rPr>
            </w:pPr>
            <w:r>
              <w:rPr>
                <w:rFonts w:cs="Times New Roman"/>
                <w:sz w:val="22"/>
                <w:szCs w:val="22"/>
                <w:lang w:val="es-ES"/>
              </w:rPr>
              <w:t xml:space="preserve">Salvo que </w:t>
            </w:r>
            <w:r>
              <w:rPr>
                <w:rFonts w:cs="Times New Roman"/>
                <w:b/>
                <w:sz w:val="22"/>
                <w:szCs w:val="22"/>
                <w:lang w:val="es-ES"/>
              </w:rPr>
              <w:t>en los DDL</w:t>
            </w:r>
            <w:r>
              <w:rPr>
                <w:rFonts w:cs="Times New Roman"/>
                <w:sz w:val="22"/>
                <w:szCs w:val="22"/>
                <w:lang w:val="es-ES"/>
              </w:rPr>
              <w:t xml:space="preserve"> se especifique otra cosa, no se aceptarán Ofertas alternativas. </w:t>
            </w:r>
          </w:p>
        </w:tc>
      </w:tr>
      <w:tr>
        <w:trPr>
          <w:trHeight w:val="4095"/>
          <w:jc w:val="center"/>
        </w:trPr>
        <w:tc>
          <w:tcPr>
            <w:tcW w:w="2656" w:type="dxa"/>
          </w:tcPr>
          <w:p>
            <w:pPr>
              <w:pStyle w:val="IAOs"/>
              <w:rPr>
                <w:rFonts w:ascii="Times New Roman" w:hAnsi="Times New Roman"/>
              </w:rPr>
            </w:pPr>
            <w:bookmarkStart w:id="169" w:name="_Toc438438835"/>
            <w:bookmarkStart w:id="170" w:name="_Toc438532588"/>
            <w:bookmarkStart w:id="171" w:name="_Toc438733979"/>
            <w:bookmarkStart w:id="172" w:name="_Toc438907018"/>
            <w:bookmarkStart w:id="173" w:name="_Toc438907217"/>
            <w:bookmarkStart w:id="174" w:name="_Toc97371017"/>
            <w:bookmarkStart w:id="175" w:name="_Toc139863116"/>
            <w:bookmarkStart w:id="176" w:name="_Toc325723932"/>
            <w:bookmarkStart w:id="177" w:name="_Toc440526025"/>
            <w:bookmarkStart w:id="178" w:name="_Toc435624826"/>
            <w:bookmarkStart w:id="179" w:name="_Toc455487607"/>
            <w:bookmarkStart w:id="180" w:name="_Toc26891429"/>
            <w:bookmarkStart w:id="181" w:name="_Toc175256889"/>
            <w:r>
              <w:rPr>
                <w:rFonts w:ascii="Times New Roman" w:hAnsi="Times New Roman"/>
              </w:rPr>
              <w:t xml:space="preserve">Precios de la Oferta y </w:t>
            </w:r>
            <w:bookmarkEnd w:id="169"/>
            <w:bookmarkEnd w:id="170"/>
            <w:bookmarkEnd w:id="171"/>
            <w:bookmarkEnd w:id="172"/>
            <w:bookmarkEnd w:id="173"/>
            <w:bookmarkEnd w:id="174"/>
            <w:bookmarkEnd w:id="175"/>
            <w:bookmarkEnd w:id="176"/>
            <w:bookmarkEnd w:id="177"/>
            <w:bookmarkEnd w:id="178"/>
            <w:bookmarkEnd w:id="179"/>
            <w:r>
              <w:rPr>
                <w:rFonts w:ascii="Times New Roman" w:hAnsi="Times New Roman"/>
              </w:rPr>
              <w:t>Descuentos</w:t>
            </w:r>
            <w:bookmarkEnd w:id="180"/>
            <w:bookmarkEnd w:id="181"/>
          </w:p>
        </w:tc>
        <w:tc>
          <w:tcPr>
            <w:tcW w:w="7053" w:type="dxa"/>
          </w:tcPr>
          <w:p>
            <w:pPr>
              <w:pStyle w:val="Sub-ClauseText"/>
              <w:numPr>
                <w:ilvl w:val="1"/>
                <w:numId w:val="92"/>
              </w:numPr>
              <w:overflowPunct/>
              <w:autoSpaceDE/>
              <w:autoSpaceDN/>
              <w:adjustRightInd/>
              <w:spacing w:before="0" w:after="160"/>
              <w:textAlignment w:val="auto"/>
              <w:rPr>
                <w:spacing w:val="0"/>
                <w:sz w:val="22"/>
                <w:szCs w:val="22"/>
                <w:lang w:val="es-ES"/>
              </w:rPr>
            </w:pPr>
            <w:r>
              <w:rPr>
                <w:spacing w:val="0"/>
                <w:sz w:val="22"/>
                <w:szCs w:val="22"/>
                <w:lang w:val="es-ES"/>
              </w:rPr>
              <w:t xml:space="preserve">Los precios y descuentos cotizados por el Oferente en la Carta de la Oferta y en la Lista de Precios deberán ajustarse a los requerimientos que se indican </w:t>
            </w:r>
            <w:r>
              <w:rPr>
                <w:iCs/>
                <w:spacing w:val="0"/>
                <w:sz w:val="22"/>
                <w:szCs w:val="22"/>
                <w:lang w:val="es-ES"/>
              </w:rPr>
              <w:t>a continuación.</w:t>
            </w:r>
          </w:p>
          <w:p>
            <w:pPr>
              <w:pStyle w:val="Sub-ClauseText"/>
              <w:numPr>
                <w:ilvl w:val="1"/>
                <w:numId w:val="92"/>
              </w:numPr>
              <w:overflowPunct/>
              <w:autoSpaceDE/>
              <w:autoSpaceDN/>
              <w:adjustRightInd/>
              <w:spacing w:before="0" w:after="160"/>
              <w:textAlignment w:val="auto"/>
              <w:rPr>
                <w:spacing w:val="0"/>
                <w:sz w:val="22"/>
                <w:szCs w:val="22"/>
                <w:lang w:val="es-ES"/>
              </w:rPr>
            </w:pPr>
            <w:r>
              <w:rPr>
                <w:spacing w:val="0"/>
                <w:sz w:val="22"/>
                <w:szCs w:val="22"/>
                <w:lang w:val="es-ES"/>
              </w:rPr>
              <w:t xml:space="preserve">Todos los lotes y artículos deberán enumerarse y cotizarse por separado en las Listas de Precios. </w:t>
            </w:r>
          </w:p>
          <w:p>
            <w:pPr>
              <w:pStyle w:val="Sub-ClauseText"/>
              <w:numPr>
                <w:ilvl w:val="1"/>
                <w:numId w:val="92"/>
              </w:numPr>
              <w:overflowPunct/>
              <w:autoSpaceDE/>
              <w:autoSpaceDN/>
              <w:adjustRightInd/>
              <w:spacing w:before="0" w:after="160"/>
              <w:textAlignment w:val="auto"/>
              <w:rPr>
                <w:spacing w:val="0"/>
                <w:sz w:val="22"/>
                <w:szCs w:val="22"/>
                <w:lang w:val="es-ES"/>
              </w:rPr>
            </w:pPr>
            <w:r>
              <w:rPr>
                <w:spacing w:val="0"/>
                <w:sz w:val="22"/>
                <w:szCs w:val="22"/>
                <w:lang w:val="es-ES"/>
              </w:rPr>
              <w:t xml:space="preserve">El precio cotizado en la Carta de la Oferta de acuerdo con la IAO 13.1 deberá ser el precio total de la Oferta, excluyendo cualquier descuento que se ofrezca. </w:t>
            </w:r>
          </w:p>
          <w:p>
            <w:pPr>
              <w:pStyle w:val="Sub-ClauseText"/>
              <w:numPr>
                <w:ilvl w:val="1"/>
                <w:numId w:val="92"/>
              </w:numPr>
              <w:overflowPunct/>
              <w:autoSpaceDE/>
              <w:autoSpaceDN/>
              <w:adjustRightInd/>
              <w:spacing w:before="0" w:after="160"/>
              <w:textAlignment w:val="auto"/>
              <w:rPr>
                <w:spacing w:val="0"/>
                <w:sz w:val="22"/>
                <w:szCs w:val="22"/>
                <w:lang w:val="es-ES"/>
              </w:rPr>
            </w:pPr>
            <w:r>
              <w:rPr>
                <w:spacing w:val="0"/>
                <w:sz w:val="22"/>
                <w:szCs w:val="22"/>
                <w:lang w:val="es-ES"/>
              </w:rPr>
              <w:t>El Oferente cotizará cualquier descuento e indicará su método de aplicación en la Carta de la Oferta, de acuerdo con la IAO 13.1.</w:t>
            </w:r>
          </w:p>
          <w:p>
            <w:pPr>
              <w:pStyle w:val="Sub-ClauseText"/>
              <w:numPr>
                <w:ilvl w:val="1"/>
                <w:numId w:val="92"/>
              </w:numPr>
              <w:overflowPunct/>
              <w:autoSpaceDE/>
              <w:autoSpaceDN/>
              <w:adjustRightInd/>
              <w:spacing w:before="0" w:after="160"/>
              <w:textAlignment w:val="auto"/>
              <w:rPr>
                <w:spacing w:val="0"/>
                <w:sz w:val="22"/>
                <w:szCs w:val="22"/>
                <w:lang w:val="es-ES"/>
              </w:rPr>
            </w:pPr>
            <w:r>
              <w:rPr>
                <w:spacing w:val="0"/>
                <w:sz w:val="22"/>
                <w:szCs w:val="22"/>
                <w:lang w:val="es-ES"/>
              </w:rPr>
              <w:t xml:space="preserve">Los precios cotizados por el Oferente serán fijos durante la ejecución del Contrato y no estarán sujetos a ninguna variación por ningún motivo, salvo indicación contraria </w:t>
            </w:r>
            <w:r>
              <w:rPr>
                <w:b/>
                <w:spacing w:val="0"/>
                <w:sz w:val="22"/>
                <w:szCs w:val="22"/>
                <w:lang w:val="es-ES"/>
              </w:rPr>
              <w:t xml:space="preserve">en los </w:t>
            </w:r>
            <w:r>
              <w:rPr>
                <w:b/>
                <w:bCs/>
                <w:spacing w:val="0"/>
                <w:sz w:val="22"/>
                <w:szCs w:val="22"/>
                <w:lang w:val="es-ES"/>
              </w:rPr>
              <w:t>DDL</w:t>
            </w:r>
            <w:r>
              <w:rPr>
                <w:spacing w:val="0"/>
                <w:sz w:val="22"/>
                <w:szCs w:val="22"/>
                <w:lang w:val="es-ES"/>
              </w:rPr>
              <w:t xml:space="preserve">. Una oferta presentada con precios ajustables no responde a lo solicitado y, en consecuencia, </w:t>
            </w:r>
            <w:r>
              <w:rPr>
                <w:spacing w:val="0"/>
                <w:sz w:val="22"/>
                <w:szCs w:val="22"/>
                <w:lang w:val="es-ES"/>
              </w:rPr>
              <w:lastRenderedPageBreak/>
              <w:t xml:space="preserve">será rechazada de conformidad con la IAO 30. Sin embargo, si, de acuerdo con lo indicado </w:t>
            </w:r>
            <w:r>
              <w:rPr>
                <w:b/>
                <w:spacing w:val="0"/>
                <w:sz w:val="22"/>
                <w:szCs w:val="22"/>
                <w:lang w:val="es-ES"/>
              </w:rPr>
              <w:t xml:space="preserve">en los </w:t>
            </w:r>
            <w:r>
              <w:rPr>
                <w:b/>
                <w:bCs/>
                <w:spacing w:val="0"/>
                <w:sz w:val="22"/>
                <w:szCs w:val="22"/>
                <w:lang w:val="es-ES"/>
              </w:rPr>
              <w:t>DDL</w:t>
            </w:r>
            <w:r>
              <w:rPr>
                <w:spacing w:val="0"/>
                <w:sz w:val="22"/>
                <w:szCs w:val="22"/>
                <w:lang w:val="es-ES"/>
              </w:rPr>
              <w:t>, los precios cotizados por el Oferente pueden estar sujetos a ajustes durante la ejecución del Contrato, las ofertas que coticen precios fijos no serán rechazadas, y el ajuste de los precios se tratará como si fuera cero.</w:t>
            </w:r>
          </w:p>
          <w:p>
            <w:pPr>
              <w:pStyle w:val="Sub-ClauseText"/>
              <w:numPr>
                <w:ilvl w:val="1"/>
                <w:numId w:val="92"/>
              </w:numPr>
              <w:overflowPunct/>
              <w:autoSpaceDE/>
              <w:autoSpaceDN/>
              <w:adjustRightInd/>
              <w:spacing w:before="0" w:after="160"/>
              <w:textAlignment w:val="auto"/>
              <w:rPr>
                <w:spacing w:val="0"/>
                <w:sz w:val="22"/>
                <w:szCs w:val="22"/>
                <w:lang w:val="es-ES"/>
              </w:rPr>
            </w:pPr>
            <w:r>
              <w:rPr>
                <w:spacing w:val="0"/>
                <w:sz w:val="22"/>
                <w:szCs w:val="22"/>
                <w:lang w:val="es-ES"/>
              </w:rPr>
              <w:t xml:space="preserve">Si así se indica en la IAO 1.1, la Solicitud de Ofertas se hará por Ofertas para lotes individuales (contratos) o para combinación de lotes (grupo de contratos). A menos que se indique lo contrario </w:t>
            </w:r>
            <w:r>
              <w:rPr>
                <w:b/>
                <w:spacing w:val="0"/>
                <w:sz w:val="22"/>
                <w:szCs w:val="22"/>
                <w:lang w:val="es-ES"/>
              </w:rPr>
              <w:t xml:space="preserve">en los </w:t>
            </w:r>
            <w:r>
              <w:rPr>
                <w:b/>
                <w:bCs/>
                <w:spacing w:val="0"/>
                <w:sz w:val="22"/>
                <w:szCs w:val="22"/>
                <w:lang w:val="es-ES"/>
              </w:rPr>
              <w:t>DDL</w:t>
            </w:r>
            <w:r>
              <w:rPr>
                <w:spacing w:val="0"/>
                <w:sz w:val="22"/>
                <w:szCs w:val="22"/>
                <w:lang w:val="es-ES"/>
              </w:rPr>
              <w:t>, los precios cotizados deberán corresponder al 100 % de los artículos indicados en cada lote y al 100 % de las cantidades indicadas para cada artículo de un lote. Los Oferentes que deseen ofrecer descuentos por la adjudicación de más de un Contrato deberán indicar en su Oferta los descuentos aplicables para cada grupo de contratos o, alternativamente, para Contratos individuales en el grupo. Los descuentos deberán presentarse de conformidad con la IAO 15.4, siempre y cuando las ofertas por todos los lotes sean presentadas y abiertas al mismo tiempo.</w:t>
            </w:r>
          </w:p>
          <w:p>
            <w:pPr>
              <w:pStyle w:val="Sub-ClauseText"/>
              <w:numPr>
                <w:ilvl w:val="1"/>
                <w:numId w:val="92"/>
              </w:numPr>
              <w:overflowPunct/>
              <w:autoSpaceDE/>
              <w:autoSpaceDN/>
              <w:adjustRightInd/>
              <w:spacing w:before="0" w:after="160"/>
              <w:textAlignment w:val="auto"/>
              <w:rPr>
                <w:spacing w:val="0"/>
                <w:sz w:val="22"/>
                <w:szCs w:val="22"/>
                <w:lang w:val="es-ES"/>
              </w:rPr>
            </w:pPr>
            <w:r>
              <w:rPr>
                <w:spacing w:val="0"/>
                <w:sz w:val="22"/>
                <w:szCs w:val="22"/>
                <w:lang w:val="es-ES"/>
              </w:rPr>
              <w:t>Las expresiones “EXW”, “DDP” y otros términos afines se regirán por las normas prescritas en la edición vigente de Incoterms</w:t>
            </w:r>
            <w:r>
              <w:rPr>
                <w:i/>
                <w:iCs/>
                <w:spacing w:val="0"/>
                <w:sz w:val="22"/>
                <w:szCs w:val="22"/>
                <w:lang w:val="es-ES"/>
              </w:rPr>
              <w:t>,</w:t>
            </w:r>
            <w:r>
              <w:rPr>
                <w:spacing w:val="0"/>
                <w:sz w:val="22"/>
                <w:szCs w:val="22"/>
                <w:lang w:val="es-ES"/>
              </w:rPr>
              <w:t xml:space="preserve"> publicada por la Cámara de Comercio Internacional, según lo especificado</w:t>
            </w:r>
            <w:r>
              <w:rPr>
                <w:b/>
                <w:bCs/>
                <w:spacing w:val="0"/>
                <w:sz w:val="22"/>
                <w:szCs w:val="22"/>
                <w:lang w:val="es-ES"/>
              </w:rPr>
              <w:t xml:space="preserve"> en los DDL</w:t>
            </w:r>
            <w:r>
              <w:rPr>
                <w:spacing w:val="0"/>
                <w:sz w:val="22"/>
                <w:szCs w:val="22"/>
                <w:lang w:val="es-ES"/>
              </w:rPr>
              <w:t>.</w:t>
            </w:r>
          </w:p>
          <w:p>
            <w:pPr>
              <w:pStyle w:val="Sub-ClauseText"/>
              <w:numPr>
                <w:ilvl w:val="1"/>
                <w:numId w:val="92"/>
              </w:numPr>
              <w:overflowPunct/>
              <w:autoSpaceDE/>
              <w:autoSpaceDN/>
              <w:adjustRightInd/>
              <w:spacing w:before="0" w:after="160"/>
              <w:textAlignment w:val="auto"/>
              <w:rPr>
                <w:spacing w:val="0"/>
                <w:sz w:val="22"/>
                <w:szCs w:val="22"/>
                <w:lang w:val="es-ES"/>
              </w:rPr>
            </w:pPr>
            <w:r>
              <w:rPr>
                <w:spacing w:val="0"/>
                <w:sz w:val="22"/>
                <w:szCs w:val="22"/>
                <w:lang w:val="es-ES"/>
              </w:rPr>
              <w:t>Los precios deberán cotizarse como se indica en cada lista de precios incluida en la Sección V, “Formularios de la Oferta”.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Oferente podrá incluir costos de transporte cotizados por empresas transportadoras registradas en cualquier país elegible, de conformidad con la Sección IV, “Países Elegibles”. Asimismo, el Oferente podrá adquirir servicios de seguros de cualquier país elegible de conformidad con la Sección IV, “Países Elegibles”. Los precios deberán registrarse de la siguiente manera:</w:t>
            </w:r>
          </w:p>
          <w:p>
            <w:pPr>
              <w:pStyle w:val="Ttulo3"/>
              <w:keepNext w:val="0"/>
              <w:numPr>
                <w:ilvl w:val="2"/>
                <w:numId w:val="88"/>
              </w:numPr>
              <w:suppressAutoHyphens w:val="0"/>
              <w:spacing w:after="160"/>
              <w:ind w:left="1151" w:hanging="544"/>
              <w:jc w:val="both"/>
              <w:rPr>
                <w:rFonts w:cs="Times New Roman"/>
                <w:b w:val="0"/>
                <w:bCs w:val="0"/>
                <w:sz w:val="22"/>
                <w:szCs w:val="22"/>
                <w:lang w:val="es-ES"/>
              </w:rPr>
            </w:pPr>
            <w:r>
              <w:rPr>
                <w:rFonts w:cs="Times New Roman"/>
                <w:b w:val="0"/>
                <w:bCs w:val="0"/>
                <w:sz w:val="22"/>
                <w:szCs w:val="22"/>
                <w:lang w:val="es-ES"/>
              </w:rPr>
              <w:t>Para Bienes fabricados en el País del Comprador:</w:t>
            </w:r>
          </w:p>
          <w:p>
            <w:pPr>
              <w:pStyle w:val="Prrafodelista"/>
              <w:numPr>
                <w:ilvl w:val="3"/>
                <w:numId w:val="88"/>
              </w:numPr>
              <w:spacing w:after="160"/>
              <w:ind w:left="1656" w:hanging="505"/>
              <w:contextualSpacing w:val="0"/>
              <w:jc w:val="both"/>
              <w:rPr>
                <w:sz w:val="22"/>
                <w:szCs w:val="22"/>
                <w:lang w:val="es-ES"/>
              </w:rPr>
            </w:pPr>
            <w:r>
              <w:rPr>
                <w:sz w:val="22"/>
                <w:szCs w:val="22"/>
                <w:lang w:val="es-ES"/>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pPr>
              <w:pStyle w:val="Prrafodelista"/>
              <w:numPr>
                <w:ilvl w:val="3"/>
                <w:numId w:val="88"/>
              </w:numPr>
              <w:spacing w:after="160"/>
              <w:ind w:left="1656" w:hanging="505"/>
              <w:contextualSpacing w:val="0"/>
              <w:jc w:val="both"/>
              <w:rPr>
                <w:sz w:val="22"/>
                <w:szCs w:val="22"/>
                <w:lang w:val="es-ES"/>
              </w:rPr>
            </w:pPr>
            <w:r>
              <w:rPr>
                <w:sz w:val="22"/>
                <w:szCs w:val="22"/>
                <w:lang w:val="es-ES"/>
              </w:rPr>
              <w:t>todo impuesto a las ventas u otro tipo de impuesto que obligue el País del Comprador a pagar sobre los Bienes en caso de ser adjudicado el Contrato al Oferente;</w:t>
            </w:r>
          </w:p>
          <w:p>
            <w:pPr>
              <w:pStyle w:val="Prrafodelista"/>
              <w:numPr>
                <w:ilvl w:val="3"/>
                <w:numId w:val="88"/>
              </w:numPr>
              <w:spacing w:after="160"/>
              <w:ind w:left="1656" w:hanging="505"/>
              <w:contextualSpacing w:val="0"/>
              <w:jc w:val="both"/>
              <w:rPr>
                <w:sz w:val="22"/>
                <w:szCs w:val="22"/>
                <w:lang w:val="es-ES"/>
              </w:rPr>
            </w:pPr>
            <w:r>
              <w:rPr>
                <w:sz w:val="22"/>
                <w:szCs w:val="22"/>
                <w:lang w:val="es-ES"/>
              </w:rPr>
              <w:t xml:space="preserve">el precio de transporte interno, seguros y otros servicios necesarios para hacer llegar los Bienes al destino final (lugar del Proyecto) especificado </w:t>
            </w:r>
            <w:r>
              <w:rPr>
                <w:b/>
                <w:sz w:val="22"/>
                <w:szCs w:val="22"/>
                <w:lang w:val="es-ES"/>
              </w:rPr>
              <w:t xml:space="preserve">en los </w:t>
            </w:r>
            <w:r>
              <w:rPr>
                <w:b/>
                <w:bCs/>
                <w:sz w:val="22"/>
                <w:szCs w:val="22"/>
                <w:lang w:val="es-ES"/>
              </w:rPr>
              <w:t>DDL</w:t>
            </w:r>
            <w:r>
              <w:rPr>
                <w:sz w:val="22"/>
                <w:szCs w:val="22"/>
                <w:lang w:val="es-ES"/>
              </w:rPr>
              <w:t>.</w:t>
            </w:r>
          </w:p>
          <w:p>
            <w:pPr>
              <w:pStyle w:val="Ttulo3"/>
              <w:keepNext w:val="0"/>
              <w:numPr>
                <w:ilvl w:val="2"/>
                <w:numId w:val="88"/>
              </w:numPr>
              <w:suppressAutoHyphens w:val="0"/>
              <w:spacing w:after="160"/>
              <w:ind w:left="1151" w:hanging="544"/>
              <w:jc w:val="both"/>
              <w:rPr>
                <w:rFonts w:cs="Times New Roman"/>
                <w:b w:val="0"/>
                <w:bCs w:val="0"/>
                <w:sz w:val="22"/>
                <w:szCs w:val="22"/>
                <w:lang w:val="es-ES"/>
              </w:rPr>
            </w:pPr>
            <w:r>
              <w:rPr>
                <w:rFonts w:cs="Times New Roman"/>
                <w:b w:val="0"/>
                <w:bCs w:val="0"/>
                <w:sz w:val="22"/>
                <w:szCs w:val="22"/>
                <w:lang w:val="es-ES"/>
              </w:rPr>
              <w:t>Para Bienes fabricados fuera del País del Comprador y que serán importados:</w:t>
            </w:r>
          </w:p>
          <w:p>
            <w:pPr>
              <w:pStyle w:val="Prrafodelista"/>
              <w:numPr>
                <w:ilvl w:val="3"/>
                <w:numId w:val="88"/>
              </w:numPr>
              <w:spacing w:after="160"/>
              <w:ind w:left="1695" w:hanging="544"/>
              <w:contextualSpacing w:val="0"/>
              <w:jc w:val="both"/>
              <w:rPr>
                <w:sz w:val="22"/>
                <w:szCs w:val="22"/>
                <w:lang w:val="es-ES"/>
              </w:rPr>
            </w:pPr>
            <w:r>
              <w:rPr>
                <w:sz w:val="22"/>
                <w:szCs w:val="22"/>
                <w:lang w:val="es-ES"/>
              </w:rPr>
              <w:lastRenderedPageBreak/>
              <w:t xml:space="preserve">el precio de los Bienes, cotizados DDP lugar de destino convenido, en el País del Comprador, según se indica </w:t>
            </w:r>
            <w:r>
              <w:rPr>
                <w:b/>
                <w:sz w:val="22"/>
                <w:szCs w:val="22"/>
                <w:lang w:val="es-ES"/>
              </w:rPr>
              <w:t xml:space="preserve">en los </w:t>
            </w:r>
            <w:r>
              <w:rPr>
                <w:b/>
                <w:bCs/>
                <w:sz w:val="22"/>
                <w:szCs w:val="22"/>
                <w:lang w:val="es-ES"/>
              </w:rPr>
              <w:t>DDL</w:t>
            </w:r>
            <w:r>
              <w:rPr>
                <w:sz w:val="22"/>
                <w:szCs w:val="22"/>
                <w:lang w:val="es-ES"/>
              </w:rPr>
              <w:t xml:space="preserve">; </w:t>
            </w:r>
          </w:p>
          <w:p>
            <w:pPr>
              <w:pStyle w:val="Prrafodelista"/>
              <w:numPr>
                <w:ilvl w:val="3"/>
                <w:numId w:val="88"/>
              </w:numPr>
              <w:spacing w:after="160"/>
              <w:ind w:left="1695" w:hanging="544"/>
              <w:contextualSpacing w:val="0"/>
              <w:jc w:val="both"/>
              <w:rPr>
                <w:sz w:val="22"/>
                <w:szCs w:val="22"/>
                <w:lang w:val="es-ES"/>
              </w:rPr>
            </w:pPr>
            <w:r>
              <w:rPr>
                <w:sz w:val="22"/>
                <w:szCs w:val="22"/>
                <w:lang w:val="es-ES"/>
              </w:rPr>
              <w:t xml:space="preserve">el precio de transporte interno, seguros y otros servicios locales necesarios para hacer llegar los Bienes del lugar de destino convenido a su destino final (lugar del Proyecto) indicado </w:t>
            </w:r>
            <w:r>
              <w:rPr>
                <w:b/>
                <w:sz w:val="22"/>
                <w:szCs w:val="22"/>
                <w:lang w:val="es-ES"/>
              </w:rPr>
              <w:t>en los </w:t>
            </w:r>
            <w:r>
              <w:rPr>
                <w:b/>
                <w:bCs/>
                <w:sz w:val="22"/>
                <w:szCs w:val="22"/>
                <w:lang w:val="es-ES"/>
              </w:rPr>
              <w:t>DDL</w:t>
            </w:r>
            <w:r>
              <w:rPr>
                <w:sz w:val="22"/>
                <w:szCs w:val="22"/>
                <w:lang w:val="es-ES"/>
              </w:rPr>
              <w:t>.</w:t>
            </w:r>
          </w:p>
          <w:p>
            <w:pPr>
              <w:pStyle w:val="Ttulo3"/>
              <w:keepNext w:val="0"/>
              <w:numPr>
                <w:ilvl w:val="2"/>
                <w:numId w:val="88"/>
              </w:numPr>
              <w:suppressAutoHyphens w:val="0"/>
              <w:spacing w:after="160"/>
              <w:ind w:left="1151" w:hanging="544"/>
              <w:jc w:val="both"/>
              <w:rPr>
                <w:rFonts w:cs="Times New Roman"/>
                <w:b w:val="0"/>
                <w:bCs w:val="0"/>
                <w:sz w:val="22"/>
                <w:szCs w:val="22"/>
                <w:lang w:val="es-ES"/>
              </w:rPr>
            </w:pPr>
            <w:r>
              <w:rPr>
                <w:rFonts w:cs="Times New Roman"/>
                <w:b w:val="0"/>
                <w:bCs w:val="0"/>
                <w:sz w:val="22"/>
                <w:szCs w:val="22"/>
                <w:lang w:val="es-ES"/>
              </w:rPr>
              <w:t xml:space="preserve">Para Bienes fabricados fuera del País del Comprador, e importados previamente: </w:t>
            </w:r>
          </w:p>
          <w:p>
            <w:pPr>
              <w:pStyle w:val="Prrafodelista"/>
              <w:numPr>
                <w:ilvl w:val="3"/>
                <w:numId w:val="88"/>
              </w:numPr>
              <w:spacing w:after="160"/>
              <w:ind w:left="1695" w:hanging="544"/>
              <w:contextualSpacing w:val="0"/>
              <w:jc w:val="both"/>
              <w:rPr>
                <w:sz w:val="22"/>
                <w:szCs w:val="22"/>
                <w:lang w:val="es-ES"/>
              </w:rPr>
            </w:pPr>
            <w:r>
              <w:rPr>
                <w:sz w:val="22"/>
                <w:szCs w:val="22"/>
                <w:lang w:val="es-ES"/>
              </w:rPr>
              <w:t>el precio de los Bienes, incluyendo el valor original de importación más cualquier margen (o descuento), más cualquier otro costo relacionado, derechos de aduana y otros impuestos de importación pagados o por pagar sobre los Bienes previamente importados;</w:t>
            </w:r>
          </w:p>
          <w:p>
            <w:pPr>
              <w:pStyle w:val="Prrafodelista"/>
              <w:numPr>
                <w:ilvl w:val="3"/>
                <w:numId w:val="88"/>
              </w:numPr>
              <w:spacing w:after="160"/>
              <w:ind w:left="1695" w:hanging="544"/>
              <w:contextualSpacing w:val="0"/>
              <w:jc w:val="both"/>
              <w:rPr>
                <w:sz w:val="22"/>
                <w:szCs w:val="22"/>
                <w:lang w:val="es-ES"/>
              </w:rPr>
            </w:pPr>
            <w:r>
              <w:rPr>
                <w:sz w:val="22"/>
                <w:szCs w:val="22"/>
                <w:lang w:val="es-ES"/>
              </w:rPr>
              <w:t xml:space="preserve">los derechos de aduana y otros impuestos de importación pagados (deberán ser respaldados con prueba documental) o pagaderos sobre los Bienes previamente importados; </w:t>
            </w:r>
          </w:p>
          <w:p>
            <w:pPr>
              <w:pStyle w:val="Prrafodelista"/>
              <w:numPr>
                <w:ilvl w:val="3"/>
                <w:numId w:val="88"/>
              </w:numPr>
              <w:spacing w:after="160"/>
              <w:ind w:left="1695" w:hanging="544"/>
              <w:contextualSpacing w:val="0"/>
              <w:jc w:val="both"/>
              <w:rPr>
                <w:sz w:val="22"/>
                <w:szCs w:val="22"/>
                <w:lang w:val="es-ES"/>
              </w:rPr>
            </w:pPr>
            <w:r>
              <w:rPr>
                <w:sz w:val="22"/>
                <w:szCs w:val="22"/>
                <w:lang w:val="es-ES"/>
              </w:rPr>
              <w:t>el precio de los Bienes obtenido de la diferencia entre (i) y (ii);</w:t>
            </w:r>
          </w:p>
          <w:p>
            <w:pPr>
              <w:pStyle w:val="Prrafodelista"/>
              <w:numPr>
                <w:ilvl w:val="3"/>
                <w:numId w:val="88"/>
              </w:numPr>
              <w:spacing w:after="160"/>
              <w:ind w:left="1695" w:hanging="544"/>
              <w:contextualSpacing w:val="0"/>
              <w:jc w:val="both"/>
              <w:rPr>
                <w:sz w:val="22"/>
                <w:szCs w:val="22"/>
                <w:lang w:val="es-ES"/>
              </w:rPr>
            </w:pPr>
            <w:r>
              <w:rPr>
                <w:sz w:val="22"/>
                <w:szCs w:val="22"/>
                <w:lang w:val="es-ES"/>
              </w:rPr>
              <w:t>cualquier impuesto sobre la venta u otro impuesto pagadero en el País del Comprador sobre los Bienes si el Contrato es adjudicado al Oferente;</w:t>
            </w:r>
          </w:p>
          <w:p>
            <w:pPr>
              <w:pStyle w:val="Prrafodelista"/>
              <w:numPr>
                <w:ilvl w:val="3"/>
                <w:numId w:val="88"/>
              </w:numPr>
              <w:tabs>
                <w:tab w:val="num" w:pos="2844"/>
              </w:tabs>
              <w:spacing w:after="160"/>
              <w:ind w:left="1695" w:hanging="544"/>
              <w:contextualSpacing w:val="0"/>
              <w:jc w:val="both"/>
              <w:rPr>
                <w:sz w:val="22"/>
                <w:szCs w:val="22"/>
                <w:lang w:val="es-ES"/>
              </w:rPr>
            </w:pPr>
            <w:r>
              <w:rPr>
                <w:sz w:val="22"/>
                <w:szCs w:val="22"/>
                <w:lang w:val="es-ES"/>
              </w:rPr>
              <w:t xml:space="preserve">el precio de transporte interno, seguro y otros servicios locales necesarios para hacer llegar los Bienes del lugar de destino convenido al lugar de destino final (lugar del Proyecto) indicado </w:t>
            </w:r>
            <w:r>
              <w:rPr>
                <w:b/>
                <w:sz w:val="22"/>
                <w:szCs w:val="22"/>
                <w:lang w:val="es-ES"/>
              </w:rPr>
              <w:t xml:space="preserve">en los </w:t>
            </w:r>
            <w:r>
              <w:rPr>
                <w:b/>
                <w:bCs/>
                <w:sz w:val="22"/>
                <w:szCs w:val="22"/>
                <w:lang w:val="es-ES"/>
              </w:rPr>
              <w:t>DDL</w:t>
            </w:r>
            <w:r>
              <w:rPr>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182" w:name="_Toc455487608"/>
            <w:bookmarkStart w:id="183" w:name="_Toc26891430"/>
            <w:bookmarkStart w:id="184" w:name="_Toc175256890"/>
            <w:r>
              <w:rPr>
                <w:rFonts w:ascii="Times New Roman" w:hAnsi="Times New Roman"/>
              </w:rPr>
              <w:lastRenderedPageBreak/>
              <w:t>Monedas de la Oferta y de los Pagos</w:t>
            </w:r>
            <w:bookmarkEnd w:id="182"/>
            <w:bookmarkEnd w:id="183"/>
            <w:bookmarkEnd w:id="184"/>
          </w:p>
        </w:tc>
        <w:tc>
          <w:tcPr>
            <w:tcW w:w="7053" w:type="dxa"/>
            <w:tcBorders>
              <w:top w:val="nil"/>
              <w:left w:val="nil"/>
              <w:bottom w:val="nil"/>
              <w:right w:val="nil"/>
            </w:tcBorders>
          </w:tcPr>
          <w:p>
            <w:pPr>
              <w:pStyle w:val="Header2-SubClauses"/>
              <w:tabs>
                <w:tab w:val="num" w:pos="601"/>
              </w:tabs>
              <w:ind w:left="620" w:hanging="634"/>
              <w:rPr>
                <w:rFonts w:cs="Times New Roman"/>
                <w:i/>
                <w:sz w:val="22"/>
                <w:szCs w:val="22"/>
                <w:lang w:val="es-ES"/>
              </w:rPr>
            </w:pPr>
            <w:r>
              <w:rPr>
                <w:rFonts w:cs="Times New Roman"/>
                <w:sz w:val="22"/>
                <w:szCs w:val="22"/>
                <w:lang w:val="es-ES"/>
              </w:rPr>
              <w:t xml:space="preserve">La moneda o las monedas de la Oferta serán las mismas que la de los pagos y estarán especificadas </w:t>
            </w:r>
            <w:r>
              <w:rPr>
                <w:rFonts w:cs="Times New Roman"/>
                <w:b/>
                <w:sz w:val="22"/>
                <w:szCs w:val="22"/>
                <w:lang w:val="es-ES"/>
              </w:rPr>
              <w:t>en los DDL</w:t>
            </w:r>
            <w:r>
              <w:rPr>
                <w:rFonts w:cs="Times New Roman"/>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185" w:name="_Toc97371019"/>
            <w:bookmarkStart w:id="186" w:name="_Toc139863118"/>
            <w:bookmarkStart w:id="187" w:name="_Toc325723934"/>
            <w:bookmarkStart w:id="188" w:name="_Toc440526027"/>
            <w:bookmarkStart w:id="189" w:name="_Toc435624828"/>
            <w:bookmarkStart w:id="190" w:name="_Toc455487609"/>
            <w:bookmarkStart w:id="191" w:name="_Toc454620929"/>
            <w:bookmarkStart w:id="192" w:name="_Toc348000799"/>
            <w:bookmarkStart w:id="193" w:name="_Toc486937432"/>
            <w:bookmarkStart w:id="194" w:name="_Toc26891431"/>
            <w:bookmarkStart w:id="195" w:name="_Toc175256891"/>
            <w:r>
              <w:rPr>
                <w:rFonts w:ascii="Times New Roman" w:hAnsi="Times New Roman"/>
              </w:rPr>
              <w:t>Documentos que Establecen la Elegibilidad y Conformidad de los Bienes y Servicios Conexos</w:t>
            </w:r>
            <w:bookmarkEnd w:id="185"/>
            <w:bookmarkEnd w:id="186"/>
            <w:bookmarkEnd w:id="187"/>
            <w:bookmarkEnd w:id="188"/>
            <w:bookmarkEnd w:id="189"/>
            <w:bookmarkEnd w:id="190"/>
            <w:bookmarkEnd w:id="191"/>
            <w:bookmarkEnd w:id="192"/>
            <w:bookmarkEnd w:id="193"/>
            <w:bookmarkEnd w:id="194"/>
            <w:bookmarkEnd w:id="195"/>
          </w:p>
        </w:tc>
        <w:tc>
          <w:tcPr>
            <w:tcW w:w="7053" w:type="dxa"/>
            <w:tcBorders>
              <w:top w:val="nil"/>
              <w:left w:val="nil"/>
              <w:bottom w:val="nil"/>
              <w:right w:val="nil"/>
            </w:tcBorders>
          </w:tcPr>
          <w:p>
            <w:pPr>
              <w:pStyle w:val="Header2-SubClauses"/>
              <w:tabs>
                <w:tab w:val="num" w:pos="601"/>
              </w:tabs>
              <w:ind w:left="620" w:hanging="634"/>
              <w:rPr>
                <w:rFonts w:cs="Times New Roman"/>
                <w:sz w:val="22"/>
                <w:szCs w:val="22"/>
                <w:lang w:val="es-ES"/>
              </w:rPr>
            </w:pPr>
            <w:r>
              <w:rPr>
                <w:rFonts w:cs="Times New Roman"/>
                <w:sz w:val="22"/>
                <w:szCs w:val="22"/>
                <w:lang w:val="es-ES"/>
              </w:rPr>
              <w:t>Para establecer la elegibilidad de los Bienes y Servicios Conexos de conformidad con la IAO 6, los Oferentes deberán completar las declaraciones del país de origen en los Formularios de Lista de Precios, incluidos en la Sección V, “Formularios de la Oferta”.</w:t>
            </w:r>
          </w:p>
          <w:p>
            <w:pPr>
              <w:pStyle w:val="Header2-SubClauses"/>
              <w:tabs>
                <w:tab w:val="num" w:pos="601"/>
              </w:tabs>
              <w:ind w:left="620" w:hanging="634"/>
              <w:rPr>
                <w:rFonts w:cs="Times New Roman"/>
                <w:sz w:val="22"/>
                <w:szCs w:val="22"/>
                <w:lang w:val="es-ES"/>
              </w:rPr>
            </w:pPr>
            <w:r>
              <w:rPr>
                <w:rFonts w:cs="Times New Roman"/>
                <w:sz w:val="22"/>
                <w:szCs w:val="22"/>
                <w:lang w:val="es-ES"/>
              </w:rPr>
              <w:t>Con el fin de establecer la conformidad de los Bienes y Servicios Conexos con el documento de licitación, los Oferentes deberán proporcionar, como parte de su Oferta, prueba documental que acredite que los Bienes cumplen con las especificaciones técnicas y los estándares especificados en la Sección VI, “Requisitos de los Bienes y Servicios Conexos”.</w:t>
            </w:r>
          </w:p>
          <w:p>
            <w:pPr>
              <w:pStyle w:val="Header2-SubClauses"/>
              <w:tabs>
                <w:tab w:val="num" w:pos="601"/>
              </w:tabs>
              <w:ind w:left="620" w:hanging="634"/>
              <w:rPr>
                <w:rFonts w:cs="Times New Roman"/>
                <w:sz w:val="22"/>
                <w:szCs w:val="22"/>
                <w:lang w:val="es-ES"/>
              </w:rPr>
            </w:pPr>
            <w:r>
              <w:rPr>
                <w:rFonts w:cs="Times New Roman"/>
                <w:sz w:val="22"/>
                <w:szCs w:val="22"/>
                <w:lang w:val="es-ES"/>
              </w:rPr>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pPr>
              <w:pStyle w:val="Header2-SubClauses"/>
              <w:tabs>
                <w:tab w:val="num" w:pos="601"/>
              </w:tabs>
              <w:ind w:left="620" w:hanging="634"/>
              <w:rPr>
                <w:rFonts w:cs="Times New Roman"/>
                <w:sz w:val="22"/>
                <w:szCs w:val="22"/>
                <w:lang w:val="es-ES"/>
              </w:rPr>
            </w:pPr>
            <w:r>
              <w:rPr>
                <w:rFonts w:cs="Times New Roman"/>
                <w:sz w:val="22"/>
                <w:szCs w:val="22"/>
                <w:lang w:val="es-ES"/>
              </w:rPr>
              <w:lastRenderedPageBreak/>
              <w:t xml:space="preserve">Los Oferentes también deberán proporcionar una lista detallada que incluya disponibilidad y precios actuales de repuestos, herramientas especiales, etc., necesarios para el funcionamiento adecuado y continuo de los Bienes durante el período </w:t>
            </w:r>
            <w:r>
              <w:rPr>
                <w:rFonts w:cs="Times New Roman"/>
                <w:bCs/>
                <w:sz w:val="22"/>
                <w:szCs w:val="22"/>
                <w:lang w:val="es-ES"/>
              </w:rPr>
              <w:t>indicado</w:t>
            </w:r>
            <w:r>
              <w:rPr>
                <w:rFonts w:cs="Times New Roman"/>
                <w:b/>
                <w:sz w:val="22"/>
                <w:szCs w:val="22"/>
                <w:lang w:val="es-ES"/>
              </w:rPr>
              <w:t xml:space="preserve"> </w:t>
            </w:r>
            <w:r>
              <w:rPr>
                <w:rFonts w:cs="Times New Roman"/>
                <w:b/>
                <w:bCs/>
                <w:sz w:val="22"/>
                <w:szCs w:val="22"/>
                <w:lang w:val="es-ES"/>
              </w:rPr>
              <w:t>en los DDL</w:t>
            </w:r>
            <w:r>
              <w:rPr>
                <w:rFonts w:cs="Times New Roman"/>
                <w:sz w:val="22"/>
                <w:szCs w:val="22"/>
                <w:lang w:val="es-ES"/>
              </w:rPr>
              <w:t>, a partir del momento en que el Comprador comience a utilizar dichos Bienes.</w:t>
            </w:r>
          </w:p>
          <w:p>
            <w:pPr>
              <w:pStyle w:val="Header2-SubClauses"/>
              <w:tabs>
                <w:tab w:val="num" w:pos="601"/>
              </w:tabs>
              <w:ind w:left="620" w:hanging="634"/>
              <w:rPr>
                <w:rFonts w:cs="Times New Roman"/>
                <w:sz w:val="22"/>
                <w:szCs w:val="22"/>
                <w:lang w:val="es-ES"/>
              </w:rPr>
            </w:pPr>
            <w:r>
              <w:rPr>
                <w:rFonts w:cs="Times New Roman"/>
                <w:sz w:val="22"/>
                <w:szCs w:val="22"/>
                <w:lang w:val="es-ES"/>
              </w:rPr>
              <w:t>Las normas de fabricación, procesamiento, material y equipos, así como las referencias a marcas o a números de catálogos que haya incluido el Comprador en la Lista de Requisitos de los Bienes y en la Lista de Servicios Conexos, son de carácter meramente descriptivo, y no restrictivo. Los Oferentes podrán ofrecer otras normas de calidad, marcas y/o números de catálogo, siempre y cuando demuestren, a satisfacción del Comprador, que las sustituciones son sustancialmente equivalentes a las normas de aceptación internacional y que cumplen con, o son superiores a, las especificadas en la Sección VI, “Requisitos de los Bienes y Servicios Conexos”.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196" w:name="_Toc455487610"/>
            <w:bookmarkStart w:id="197" w:name="_Toc26891432"/>
            <w:bookmarkStart w:id="198" w:name="_Toc175256892"/>
            <w:r>
              <w:rPr>
                <w:rFonts w:ascii="Times New Roman" w:hAnsi="Times New Roman"/>
              </w:rPr>
              <w:lastRenderedPageBreak/>
              <w:t xml:space="preserve">Documentos que establecen </w:t>
            </w:r>
            <w:bookmarkStart w:id="199" w:name="_Toc206489940"/>
            <w:r>
              <w:rPr>
                <w:rFonts w:ascii="Times New Roman" w:hAnsi="Times New Roman"/>
              </w:rPr>
              <w:t xml:space="preserve">la Elegibilidad y las Calificaciones del </w:t>
            </w:r>
            <w:bookmarkEnd w:id="196"/>
            <w:bookmarkEnd w:id="199"/>
            <w:r>
              <w:rPr>
                <w:rFonts w:ascii="Times New Roman" w:hAnsi="Times New Roman"/>
              </w:rPr>
              <w:t>Oferente</w:t>
            </w:r>
            <w:bookmarkEnd w:id="197"/>
            <w:bookmarkEnd w:id="198"/>
          </w:p>
        </w:tc>
        <w:tc>
          <w:tcPr>
            <w:tcW w:w="7053" w:type="dxa"/>
            <w:tcBorders>
              <w:top w:val="nil"/>
              <w:left w:val="nil"/>
              <w:bottom w:val="nil"/>
              <w:right w:val="nil"/>
            </w:tcBorders>
          </w:tcPr>
          <w:p>
            <w:pPr>
              <w:pStyle w:val="Header2-SubClauses"/>
              <w:tabs>
                <w:tab w:val="num" w:pos="601"/>
              </w:tabs>
              <w:ind w:left="620" w:hanging="634"/>
              <w:rPr>
                <w:rFonts w:cs="Times New Roman"/>
                <w:sz w:val="22"/>
                <w:szCs w:val="22"/>
                <w:lang w:val="es-ES"/>
              </w:rPr>
            </w:pPr>
            <w:r>
              <w:rPr>
                <w:rFonts w:cs="Times New Roman"/>
                <w:sz w:val="22"/>
                <w:szCs w:val="22"/>
                <w:lang w:val="es-ES"/>
              </w:rPr>
              <w:t xml:space="preserve">Para establecer su elegibilidad de conformidad con la IAO 5, los Oferentes deberán completar la Carta de la Oferta, incluida en la Sección V, “Formularios de la Oferta”. </w:t>
            </w:r>
          </w:p>
          <w:p>
            <w:pPr>
              <w:pStyle w:val="Header2-SubClauses"/>
              <w:tabs>
                <w:tab w:val="num" w:pos="601"/>
              </w:tabs>
              <w:ind w:left="620" w:hanging="634"/>
              <w:rPr>
                <w:rFonts w:cs="Times New Roman"/>
                <w:sz w:val="22"/>
                <w:szCs w:val="22"/>
                <w:lang w:val="es-ES"/>
              </w:rPr>
            </w:pPr>
            <w:r>
              <w:rPr>
                <w:rFonts w:cs="Times New Roman"/>
                <w:sz w:val="22"/>
                <w:szCs w:val="22"/>
                <w:lang w:val="es-ES"/>
              </w:rPr>
              <w:t>La prueba documental de las calificaciones del Oferente para ejecutar el Contrato, si su Oferta es aceptada, deberá establecer, a completa satisfacción del Comprador, que:</w:t>
            </w:r>
          </w:p>
          <w:p>
            <w:pPr>
              <w:pStyle w:val="Header2-SubClauses"/>
              <w:numPr>
                <w:ilvl w:val="1"/>
                <w:numId w:val="69"/>
              </w:numPr>
              <w:ind w:left="1080"/>
              <w:rPr>
                <w:rFonts w:cs="Times New Roman"/>
                <w:sz w:val="22"/>
                <w:szCs w:val="22"/>
                <w:lang w:val="es-ES"/>
              </w:rPr>
            </w:pPr>
            <w:r>
              <w:rPr>
                <w:rFonts w:cs="Times New Roman"/>
                <w:sz w:val="22"/>
                <w:szCs w:val="22"/>
                <w:lang w:val="es-ES"/>
              </w:rPr>
              <w:t xml:space="preserve">si se requiere </w:t>
            </w:r>
            <w:r>
              <w:rPr>
                <w:rFonts w:cs="Times New Roman"/>
                <w:b/>
                <w:bCs/>
                <w:sz w:val="22"/>
                <w:szCs w:val="22"/>
                <w:lang w:val="es-ES"/>
              </w:rPr>
              <w:t>en los DDL</w:t>
            </w:r>
            <w:r>
              <w:rPr>
                <w:rFonts w:cs="Times New Roman"/>
                <w:sz w:val="22"/>
                <w:szCs w:val="22"/>
                <w:lang w:val="es-ES"/>
              </w:rPr>
              <w:t>, el Oferente que no fabrica ni produce los Bienes que propone proveer deberá presentar una autorización del fabricante utilizando el formulario incluido en la Sección V, “Formularios de la Oferta”, para demostrar que ha sido debidamente autorizado por el fabricante o productor de los Bienes para suministrarlos en el País del Comprador;</w:t>
            </w:r>
          </w:p>
          <w:p>
            <w:pPr>
              <w:pStyle w:val="Header2-SubClauses"/>
              <w:numPr>
                <w:ilvl w:val="1"/>
                <w:numId w:val="69"/>
              </w:numPr>
              <w:ind w:left="1080"/>
              <w:rPr>
                <w:rFonts w:cs="Times New Roman"/>
                <w:sz w:val="22"/>
                <w:szCs w:val="22"/>
                <w:lang w:val="es-ES"/>
              </w:rPr>
            </w:pPr>
            <w:r>
              <w:rPr>
                <w:rFonts w:cs="Times New Roman"/>
                <w:sz w:val="22"/>
                <w:szCs w:val="22"/>
                <w:lang w:val="es-ES"/>
              </w:rPr>
              <w:t xml:space="preserve">si se requiere </w:t>
            </w:r>
            <w:r>
              <w:rPr>
                <w:rFonts w:cs="Times New Roman"/>
                <w:b/>
                <w:bCs/>
                <w:sz w:val="22"/>
                <w:szCs w:val="22"/>
                <w:lang w:val="es-ES"/>
              </w:rPr>
              <w:t>en los DDL</w:t>
            </w:r>
            <w:r>
              <w:rPr>
                <w:rFonts w:cs="Times New Roman"/>
                <w:sz w:val="22"/>
                <w:szCs w:val="22"/>
                <w:lang w:val="es-ES"/>
              </w:rPr>
              <w:t xml:space="preserve">, en el caso de un Oferente que no esté establecido comercialmente en el País del Comprador, el Oferente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pPr>
              <w:pStyle w:val="Header2-SubClauses"/>
              <w:numPr>
                <w:ilvl w:val="1"/>
                <w:numId w:val="69"/>
              </w:numPr>
              <w:ind w:left="1080"/>
              <w:rPr>
                <w:rFonts w:cs="Times New Roman"/>
                <w:sz w:val="22"/>
                <w:szCs w:val="22"/>
                <w:lang w:val="es-ES"/>
              </w:rPr>
            </w:pPr>
            <w:r>
              <w:rPr>
                <w:rFonts w:cs="Times New Roman"/>
                <w:sz w:val="22"/>
                <w:szCs w:val="22"/>
                <w:lang w:val="es-ES"/>
              </w:rPr>
              <w:t>el Oferente cumple con cada uno de los criterios de calificación estipulados en la Sección III, “Criterios de Evaluación y Calificación”.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200" w:name="_Toc438438841"/>
            <w:bookmarkStart w:id="201" w:name="_Toc438532604"/>
            <w:bookmarkStart w:id="202" w:name="_Toc438733985"/>
            <w:bookmarkStart w:id="203" w:name="_Toc438907024"/>
            <w:bookmarkStart w:id="204" w:name="_Toc438907223"/>
            <w:bookmarkStart w:id="205" w:name="_Toc97371021"/>
            <w:bookmarkStart w:id="206" w:name="_Toc139863120"/>
            <w:bookmarkStart w:id="207" w:name="_Toc325723936"/>
            <w:bookmarkStart w:id="208" w:name="_Toc440526029"/>
            <w:bookmarkStart w:id="209" w:name="_Toc435624830"/>
            <w:bookmarkStart w:id="210" w:name="_Toc455487611"/>
            <w:bookmarkStart w:id="211" w:name="_Toc26891433"/>
            <w:bookmarkStart w:id="212" w:name="_Toc175256893"/>
            <w:r>
              <w:rPr>
                <w:rFonts w:ascii="Times New Roman" w:hAnsi="Times New Roman"/>
              </w:rPr>
              <w:t>Período de Validez de las Ofertas</w:t>
            </w:r>
            <w:bookmarkEnd w:id="200"/>
            <w:bookmarkEnd w:id="201"/>
            <w:bookmarkEnd w:id="202"/>
            <w:bookmarkEnd w:id="203"/>
            <w:bookmarkEnd w:id="204"/>
            <w:bookmarkEnd w:id="205"/>
            <w:bookmarkEnd w:id="206"/>
            <w:bookmarkEnd w:id="207"/>
            <w:bookmarkEnd w:id="208"/>
            <w:bookmarkEnd w:id="209"/>
            <w:bookmarkEnd w:id="210"/>
            <w:bookmarkEnd w:id="211"/>
            <w:bookmarkEnd w:id="212"/>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Las Ofertas serán válidas durante el Período de Validez establecido </w:t>
            </w:r>
            <w:r>
              <w:rPr>
                <w:rFonts w:cs="Times New Roman"/>
                <w:b/>
                <w:sz w:val="22"/>
                <w:szCs w:val="22"/>
                <w:lang w:val="es-ES"/>
              </w:rPr>
              <w:t>en los DDL</w:t>
            </w:r>
            <w:r>
              <w:rPr>
                <w:rFonts w:cs="Times New Roman"/>
                <w:sz w:val="22"/>
                <w:szCs w:val="22"/>
                <w:lang w:val="es-ES"/>
              </w:rPr>
              <w:t>. El Período de Validez de las Ofertas se inicia en la fecha límite para la presentación de las Ofertas (fijada por el Comprador de acuerdo con la IAO 23.1). Toda Oferta con un plazo menor será rechazada por el Comprador por incumplir los requisitos pertinentes.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En circunstancias excepcionales, antes del vencimiento del Período de Validez de la Oferta, el Comprador puede solicitar a los Oferentes que extiendan dicho período. Tanto la solicitud como las respuestas se formularán por escrito. Si se ha solicitado una Garantía de </w:t>
            </w:r>
            <w:r>
              <w:rPr>
                <w:rFonts w:cs="Times New Roman"/>
                <w:spacing w:val="-2"/>
                <w:sz w:val="22"/>
                <w:szCs w:val="22"/>
                <w:lang w:val="es-ES"/>
              </w:rPr>
              <w:t>Mantenimiento</w:t>
            </w:r>
            <w:r>
              <w:rPr>
                <w:rFonts w:cs="Times New Roman"/>
                <w:i/>
                <w:spacing w:val="-2"/>
                <w:sz w:val="22"/>
                <w:szCs w:val="22"/>
                <w:lang w:val="es-ES"/>
              </w:rPr>
              <w:t xml:space="preserve"> </w:t>
            </w:r>
            <w:r>
              <w:rPr>
                <w:rFonts w:cs="Times New Roman"/>
                <w:sz w:val="22"/>
                <w:szCs w:val="22"/>
                <w:lang w:val="es-ES"/>
              </w:rPr>
              <w:t xml:space="preserve">de la Oferta de conformidad con la IAO 20, esta también se prorrogará por veintiocho (28) días a partir de la fecha límite </w:t>
            </w:r>
            <w:r>
              <w:rPr>
                <w:rFonts w:cs="Times New Roman"/>
                <w:sz w:val="22"/>
                <w:szCs w:val="22"/>
                <w:lang w:val="es-ES"/>
              </w:rPr>
              <w:lastRenderedPageBreak/>
              <w:t xml:space="preserve">del Período de Validez extendido. Los Oferentes podrán rechazar la solicitud sin que la Garantía de </w:t>
            </w:r>
            <w:r>
              <w:rPr>
                <w:rFonts w:cs="Times New Roman"/>
                <w:spacing w:val="-2"/>
                <w:sz w:val="22"/>
                <w:szCs w:val="22"/>
                <w:lang w:val="es-ES"/>
              </w:rPr>
              <w:t>Mantenimiento</w:t>
            </w:r>
            <w:r>
              <w:rPr>
                <w:rFonts w:cs="Times New Roman"/>
                <w:i/>
                <w:spacing w:val="-2"/>
                <w:sz w:val="22"/>
                <w:szCs w:val="22"/>
                <w:lang w:val="es-ES"/>
              </w:rPr>
              <w:t xml:space="preserve"> </w:t>
            </w:r>
            <w:r>
              <w:rPr>
                <w:rFonts w:cs="Times New Roman"/>
                <w:sz w:val="22"/>
                <w:szCs w:val="22"/>
                <w:lang w:val="es-ES"/>
              </w:rPr>
              <w:t>de su Oferta se ejecute. A los Oferentes que acepten la solicitud no se les pedirá ni permitirá que modifiquen su Oferta, excepto según lo dispuesto en la IAO 19.3.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Si </w:t>
            </w:r>
            <w:r>
              <w:rPr>
                <w:rFonts w:cs="Times New Roman"/>
                <w:iCs/>
                <w:sz w:val="22"/>
                <w:szCs w:val="22"/>
                <w:lang w:val="es-ES"/>
              </w:rPr>
              <w:t>la adjudicación se demora más de cincuenta y seis (56) días a partir del vencimiento del Período de Validez inicial de la Oferta, el precio del</w:t>
            </w:r>
            <w:r>
              <w:rPr>
                <w:rFonts w:cs="Times New Roman"/>
                <w:sz w:val="22"/>
                <w:szCs w:val="22"/>
                <w:lang w:val="es-ES"/>
              </w:rPr>
              <w:t xml:space="preserve"> Contrato se determinará de la manera siguiente: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656" w:type="dxa"/>
            <w:tcBorders>
              <w:top w:val="nil"/>
              <w:left w:val="nil"/>
              <w:bottom w:val="nil"/>
              <w:right w:val="nil"/>
            </w:tcBorders>
          </w:tcPr>
          <w:p>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pPr>
              <w:pStyle w:val="P3Header1-Clauses"/>
              <w:ind w:left="1054" w:hanging="425"/>
              <w:rPr>
                <w:i/>
                <w:sz w:val="22"/>
                <w:szCs w:val="22"/>
                <w:lang w:val="es-ES"/>
              </w:rPr>
            </w:pPr>
            <w:r>
              <w:rPr>
                <w:sz w:val="22"/>
                <w:szCs w:val="22"/>
                <w:lang w:val="es-ES"/>
              </w:rPr>
              <w:t xml:space="preserve">en el caso de los Contratos de </w:t>
            </w:r>
            <w:r>
              <w:rPr>
                <w:b/>
                <w:sz w:val="22"/>
                <w:szCs w:val="22"/>
                <w:lang w:val="es-ES"/>
              </w:rPr>
              <w:t>precio fijo</w:t>
            </w:r>
            <w:r>
              <w:rPr>
                <w:sz w:val="22"/>
                <w:szCs w:val="22"/>
                <w:lang w:val="es-ES"/>
              </w:rPr>
              <w:t>, el precio contractual será el de la Oferta, ajustado por un factor especificado e</w:t>
            </w:r>
            <w:r>
              <w:rPr>
                <w:b/>
                <w:sz w:val="22"/>
                <w:szCs w:val="22"/>
                <w:lang w:val="es-ES"/>
              </w:rPr>
              <w:t>n los DDL</w:t>
            </w:r>
            <w:r>
              <w:rPr>
                <w:sz w:val="22"/>
                <w:szCs w:val="22"/>
                <w:lang w:val="es-ES"/>
              </w:rPr>
              <w:t>;</w:t>
            </w:r>
          </w:p>
          <w:p>
            <w:pPr>
              <w:pStyle w:val="P3Header1-Clauses"/>
              <w:ind w:left="1054" w:hanging="425"/>
              <w:rPr>
                <w:sz w:val="22"/>
                <w:szCs w:val="22"/>
                <w:lang w:val="es-ES"/>
              </w:rPr>
            </w:pPr>
            <w:r>
              <w:rPr>
                <w:sz w:val="22"/>
                <w:szCs w:val="22"/>
                <w:lang w:val="es-ES"/>
              </w:rPr>
              <w:t>en el caso de los Contratos de precio ajustable, no se efectuarán ajustes;</w:t>
            </w:r>
          </w:p>
          <w:p>
            <w:pPr>
              <w:pStyle w:val="P3Header1-Clauses"/>
              <w:ind w:left="1054" w:hanging="425"/>
              <w:rPr>
                <w:sz w:val="22"/>
                <w:szCs w:val="22"/>
                <w:lang w:val="es-ES"/>
              </w:rPr>
            </w:pPr>
            <w:r>
              <w:rPr>
                <w:sz w:val="22"/>
                <w:szCs w:val="22"/>
                <w:lang w:val="es-ES"/>
              </w:rPr>
              <w:t xml:space="preserve">en todos los casos, la evaluación de la Oferta se basará en el precio de la Oferta sin tener en cuenta la corrección aplicable en los casos indicados más arriba.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213" w:name="_Toc455487612"/>
            <w:bookmarkStart w:id="214" w:name="_Toc26891434"/>
            <w:bookmarkStart w:id="215" w:name="_Toc175256894"/>
            <w:r>
              <w:rPr>
                <w:rFonts w:ascii="Times New Roman" w:hAnsi="Times New Roman"/>
              </w:rPr>
              <w:t xml:space="preserve">Garantía de </w:t>
            </w:r>
            <w:r>
              <w:rPr>
                <w:rFonts w:ascii="Times New Roman" w:hAnsi="Times New Roman"/>
                <w:spacing w:val="-2"/>
              </w:rPr>
              <w:t>Mantenimiento</w:t>
            </w:r>
            <w:r>
              <w:rPr>
                <w:rFonts w:ascii="Times New Roman" w:hAnsi="Times New Roman"/>
              </w:rPr>
              <w:t xml:space="preserve"> de la Oferta</w:t>
            </w:r>
            <w:bookmarkEnd w:id="213"/>
            <w:bookmarkEnd w:id="214"/>
            <w:bookmarkEnd w:id="215"/>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El Oferente proporcionará en su Oferta una Declaración de Mantenimiento de la Oferta o bien una Garantía de </w:t>
            </w:r>
            <w:r>
              <w:rPr>
                <w:rFonts w:cs="Times New Roman"/>
                <w:spacing w:val="-2"/>
                <w:sz w:val="22"/>
                <w:szCs w:val="22"/>
                <w:lang w:val="es-ES"/>
              </w:rPr>
              <w:t>Mantenimiento</w:t>
            </w:r>
            <w:r>
              <w:rPr>
                <w:rFonts w:cs="Times New Roman"/>
                <w:i/>
                <w:spacing w:val="-2"/>
                <w:sz w:val="22"/>
                <w:szCs w:val="22"/>
                <w:lang w:val="es-ES"/>
              </w:rPr>
              <w:t xml:space="preserve"> </w:t>
            </w:r>
            <w:r>
              <w:rPr>
                <w:rFonts w:cs="Times New Roman"/>
                <w:sz w:val="22"/>
                <w:szCs w:val="22"/>
                <w:lang w:val="es-ES"/>
              </w:rPr>
              <w:t xml:space="preserve">de la Oferta, según lo especificado </w:t>
            </w:r>
            <w:r>
              <w:rPr>
                <w:rFonts w:cs="Times New Roman"/>
                <w:b/>
                <w:sz w:val="22"/>
                <w:szCs w:val="22"/>
                <w:lang w:val="es-ES"/>
              </w:rPr>
              <w:t>en los DDL</w:t>
            </w:r>
            <w:r>
              <w:rPr>
                <w:rFonts w:cs="Times New Roman"/>
                <w:sz w:val="22"/>
                <w:szCs w:val="22"/>
                <w:lang w:val="es-ES"/>
              </w:rPr>
              <w:t xml:space="preserve">, en un formulario original y, en el caso de una Garantía de </w:t>
            </w:r>
            <w:r>
              <w:rPr>
                <w:rFonts w:cs="Times New Roman"/>
                <w:spacing w:val="-2"/>
                <w:sz w:val="22"/>
                <w:szCs w:val="22"/>
                <w:lang w:val="es-ES"/>
              </w:rPr>
              <w:t>Mantenimiento</w:t>
            </w:r>
            <w:r>
              <w:rPr>
                <w:rFonts w:cs="Times New Roman"/>
                <w:i/>
                <w:spacing w:val="-2"/>
                <w:sz w:val="22"/>
                <w:szCs w:val="22"/>
                <w:lang w:val="es-ES"/>
              </w:rPr>
              <w:t xml:space="preserve"> </w:t>
            </w:r>
            <w:r>
              <w:rPr>
                <w:rFonts w:cs="Times New Roman"/>
                <w:sz w:val="22"/>
                <w:szCs w:val="22"/>
                <w:lang w:val="es-ES"/>
              </w:rPr>
              <w:t xml:space="preserve">de la Oferta, por el monto y en la moneda establecidos </w:t>
            </w:r>
            <w:r>
              <w:rPr>
                <w:rStyle w:val="StyleHeader2-SubClausesBoldChar"/>
                <w:rFonts w:cs="Times New Roman"/>
                <w:sz w:val="22"/>
                <w:szCs w:val="22"/>
                <w:lang w:val="es-ES"/>
              </w:rPr>
              <w:t>en los DDL</w:t>
            </w:r>
            <w:r>
              <w:rPr>
                <w:rFonts w:cs="Times New Roman"/>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Para la Declaración de Mantenimiento de la Oferta se utilizará el formulario pertinente incluido en la Sección V, “Formularios de la Oferta”.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Style w:val="StyleHeader2-SubClausesItalicChar"/>
                <w:rFonts w:cs="Times New Roman"/>
                <w:i w:val="0"/>
                <w:sz w:val="22"/>
                <w:szCs w:val="22"/>
                <w:lang w:val="es-ES"/>
              </w:rPr>
              <w:t xml:space="preserve">Si, según lo especificado en la IAO 20.1, se debe presentar una Garantía de </w:t>
            </w:r>
            <w:r>
              <w:rPr>
                <w:rFonts w:cs="Times New Roman"/>
                <w:spacing w:val="-2"/>
                <w:sz w:val="22"/>
                <w:szCs w:val="22"/>
                <w:lang w:val="es-ES"/>
              </w:rPr>
              <w:t>Mantenimiento</w:t>
            </w:r>
            <w:r>
              <w:rPr>
                <w:rFonts w:cs="Times New Roman"/>
                <w:i/>
                <w:spacing w:val="-2"/>
                <w:sz w:val="22"/>
                <w:szCs w:val="22"/>
                <w:lang w:val="es-ES"/>
              </w:rPr>
              <w:t xml:space="preserve"> </w:t>
            </w:r>
            <w:r>
              <w:rPr>
                <w:rStyle w:val="StyleHeader2-SubClausesItalicChar"/>
                <w:rFonts w:cs="Times New Roman"/>
                <w:i w:val="0"/>
                <w:sz w:val="22"/>
                <w:szCs w:val="22"/>
                <w:lang w:val="es-ES"/>
              </w:rPr>
              <w:t>de la Oferta</w:t>
            </w:r>
            <w:r>
              <w:rPr>
                <w:rFonts w:cs="Times New Roman"/>
                <w:i/>
                <w:sz w:val="22"/>
                <w:szCs w:val="22"/>
                <w:lang w:val="es-ES"/>
              </w:rPr>
              <w:t xml:space="preserve">, </w:t>
            </w:r>
            <w:r>
              <w:rPr>
                <w:rFonts w:cs="Times New Roman"/>
                <w:sz w:val="22"/>
                <w:szCs w:val="22"/>
                <w:lang w:val="es-ES"/>
              </w:rPr>
              <w:t xml:space="preserve">esta debe ser una garantía pagadera a primer requerimiento y tendrá cualquiera de las formas siguientes, a opción del Oferente, y será </w:t>
            </w:r>
            <w:r>
              <w:rPr>
                <w:rFonts w:cs="Times New Roman"/>
                <w:bCs/>
                <w:sz w:val="22"/>
                <w:szCs w:val="22"/>
                <w:lang w:val="es-ES"/>
              </w:rPr>
              <w:t>emitida por una institución de prestigio de un país elegible</w:t>
            </w:r>
            <w:r>
              <w:rPr>
                <w:rFonts w:cs="Times New Roman"/>
                <w:sz w:val="22"/>
                <w:szCs w:val="22"/>
                <w:lang w:val="es-ES"/>
              </w:rPr>
              <w:t>:</w:t>
            </w:r>
          </w:p>
          <w:p>
            <w:pPr>
              <w:pStyle w:val="P3Header1-Clauses"/>
              <w:numPr>
                <w:ilvl w:val="0"/>
                <w:numId w:val="33"/>
              </w:numPr>
              <w:ind w:left="1199" w:hanging="567"/>
              <w:rPr>
                <w:i/>
                <w:sz w:val="22"/>
                <w:szCs w:val="22"/>
                <w:lang w:val="es-ES"/>
              </w:rPr>
            </w:pPr>
            <w:r>
              <w:rPr>
                <w:sz w:val="22"/>
                <w:szCs w:val="22"/>
                <w:lang w:val="es-ES"/>
              </w:rPr>
              <w:t xml:space="preserve">una garantía incondicional emitida por un banco o una institución financiera no bancaria (como una compañía de seguros, fianzas o avales); </w:t>
            </w:r>
          </w:p>
          <w:p>
            <w:pPr>
              <w:pStyle w:val="P3Header1-Clauses"/>
              <w:numPr>
                <w:ilvl w:val="0"/>
                <w:numId w:val="33"/>
              </w:numPr>
              <w:ind w:left="1199" w:hanging="567"/>
              <w:rPr>
                <w:i/>
                <w:sz w:val="22"/>
                <w:szCs w:val="22"/>
                <w:lang w:val="es-ES"/>
              </w:rPr>
            </w:pPr>
            <w:r>
              <w:rPr>
                <w:sz w:val="22"/>
                <w:szCs w:val="22"/>
                <w:lang w:val="es-ES"/>
              </w:rPr>
              <w:t xml:space="preserve">una carta de crédito irrevocable; </w:t>
            </w:r>
          </w:p>
          <w:p>
            <w:pPr>
              <w:pStyle w:val="P3Header1-Clauses"/>
              <w:numPr>
                <w:ilvl w:val="0"/>
                <w:numId w:val="33"/>
              </w:numPr>
              <w:ind w:left="1199" w:hanging="567"/>
              <w:rPr>
                <w:i/>
                <w:sz w:val="22"/>
                <w:szCs w:val="22"/>
                <w:lang w:val="es-ES"/>
              </w:rPr>
            </w:pPr>
            <w:r>
              <w:rPr>
                <w:sz w:val="22"/>
                <w:szCs w:val="22"/>
                <w:lang w:val="es-ES"/>
              </w:rPr>
              <w:t>un cheque de caja o cheque certificado, o</w:t>
            </w:r>
          </w:p>
          <w:p>
            <w:pPr>
              <w:pStyle w:val="P3Header1-Clauses"/>
              <w:numPr>
                <w:ilvl w:val="0"/>
                <w:numId w:val="33"/>
              </w:numPr>
              <w:ind w:left="1199" w:hanging="567"/>
              <w:rPr>
                <w:i/>
                <w:sz w:val="22"/>
                <w:szCs w:val="22"/>
                <w:lang w:val="es-ES"/>
              </w:rPr>
            </w:pPr>
            <w:r>
              <w:rPr>
                <w:sz w:val="22"/>
                <w:szCs w:val="22"/>
                <w:lang w:val="es-ES"/>
              </w:rPr>
              <w:t xml:space="preserve">otra garantía definida </w:t>
            </w:r>
            <w:r>
              <w:rPr>
                <w:b/>
                <w:sz w:val="22"/>
                <w:szCs w:val="22"/>
                <w:lang w:val="es-ES"/>
              </w:rPr>
              <w:t>en los DDL</w:t>
            </w:r>
            <w:r>
              <w:rPr>
                <w:sz w:val="22"/>
                <w:szCs w:val="22"/>
                <w:lang w:val="es-ES"/>
              </w:rPr>
              <w:t xml:space="preserve">, </w:t>
            </w:r>
          </w:p>
          <w:p>
            <w:pPr>
              <w:pStyle w:val="Header2-SubClauses"/>
              <w:numPr>
                <w:ilvl w:val="0"/>
                <w:numId w:val="0"/>
              </w:numPr>
              <w:ind w:left="504"/>
              <w:rPr>
                <w:rFonts w:cs="Times New Roman"/>
                <w:sz w:val="22"/>
                <w:szCs w:val="22"/>
                <w:lang w:val="es-ES"/>
              </w:rPr>
            </w:pPr>
            <w:r>
              <w:rPr>
                <w:rFonts w:cs="Times New Roman"/>
                <w:sz w:val="22"/>
                <w:szCs w:val="22"/>
                <w:lang w:val="es-ES"/>
              </w:rPr>
              <w:t xml:space="preserve">si una garantía incondicional es emitida por una institución financiera no bancaria situada fuera del país del </w:t>
            </w:r>
            <w:r>
              <w:rPr>
                <w:rFonts w:cs="Times New Roman"/>
                <w:bCs/>
                <w:sz w:val="22"/>
                <w:szCs w:val="22"/>
                <w:lang w:val="es-ES"/>
              </w:rPr>
              <w:t>Comprador, la institución emisora deberá tener una institución financiera corresponsal en el país del Comprador que permita hacer efectiva la garantía, a menos que el Comprador conviniera por escrito, antes de la presentación de la Oferta, en que no requiere tal institución financiera corresponsal</w:t>
            </w:r>
            <w:r>
              <w:rPr>
                <w:rFonts w:cs="Times New Roman"/>
                <w:sz w:val="22"/>
                <w:szCs w:val="22"/>
                <w:lang w:val="es-ES"/>
              </w:rPr>
              <w:t>.</w:t>
            </w:r>
            <w:r>
              <w:rPr>
                <w:rFonts w:cs="Times New Roman"/>
                <w:bCs/>
                <w:sz w:val="22"/>
                <w:szCs w:val="22"/>
                <w:lang w:val="es-ES"/>
              </w:rPr>
              <w:t xml:space="preserve"> Si se trata de una </w:t>
            </w:r>
            <w:r>
              <w:rPr>
                <w:rFonts w:cs="Times New Roman"/>
                <w:sz w:val="22"/>
                <w:szCs w:val="22"/>
                <w:lang w:val="es-ES"/>
              </w:rPr>
              <w:t xml:space="preserve">garantía bancaria, la Garantía de </w:t>
            </w:r>
            <w:r>
              <w:rPr>
                <w:rFonts w:cs="Times New Roman"/>
                <w:spacing w:val="-2"/>
                <w:sz w:val="22"/>
                <w:szCs w:val="22"/>
                <w:lang w:val="es-ES"/>
              </w:rPr>
              <w:t>Mantenimiento</w:t>
            </w:r>
            <w:r>
              <w:rPr>
                <w:rFonts w:cs="Times New Roman"/>
                <w:sz w:val="22"/>
                <w:szCs w:val="22"/>
                <w:lang w:val="es-ES"/>
              </w:rPr>
              <w:t xml:space="preserve"> de la Oferta se presentará utilizando el formulario de Garantía de Mantenimiento de Oferta que se incluye en la Sección V, “Formularios de la Oferta”, o bien</w:t>
            </w:r>
            <w:r>
              <w:rPr>
                <w:rFonts w:cs="Times New Roman"/>
                <w:bCs/>
                <w:sz w:val="22"/>
                <w:szCs w:val="22"/>
                <w:lang w:val="es-ES"/>
              </w:rPr>
              <w:t xml:space="preserve"> otro formato sustancialmente similar aprobado por el Comprador con anterioridad a la presentación de la Oferta. La </w:t>
            </w:r>
            <w:r>
              <w:rPr>
                <w:rFonts w:cs="Times New Roman"/>
                <w:sz w:val="22"/>
                <w:szCs w:val="22"/>
                <w:lang w:val="es-ES"/>
              </w:rPr>
              <w:t xml:space="preserve">Garantía de </w:t>
            </w:r>
            <w:r>
              <w:rPr>
                <w:rFonts w:cs="Times New Roman"/>
                <w:sz w:val="22"/>
                <w:szCs w:val="22"/>
                <w:lang w:val="es-ES"/>
              </w:rPr>
              <w:lastRenderedPageBreak/>
              <w:t>Mantenimiento de la Oferta</w:t>
            </w:r>
            <w:r>
              <w:rPr>
                <w:rFonts w:cs="Times New Roman"/>
                <w:bCs/>
                <w:sz w:val="22"/>
                <w:szCs w:val="22"/>
                <w:lang w:val="es-ES"/>
              </w:rPr>
              <w:t xml:space="preserve"> tendrá una validez de veintiocho (28) días a partir de la fecha límite de validez de la Oferta o de cualquier período de prórroga, si esta se hubiera solicitado de conformidad con la IAO 19.2</w:t>
            </w:r>
            <w:r>
              <w:rPr>
                <w:rFonts w:cs="Times New Roman"/>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490"/>
              <w:rPr>
                <w:rFonts w:cs="Times New Roman"/>
                <w:sz w:val="22"/>
                <w:szCs w:val="22"/>
                <w:lang w:val="es-ES"/>
              </w:rPr>
            </w:pPr>
            <w:r>
              <w:rPr>
                <w:rFonts w:cs="Times New Roman"/>
                <w:sz w:val="22"/>
                <w:szCs w:val="22"/>
                <w:lang w:val="es-ES"/>
              </w:rPr>
              <w:t xml:space="preserve">Si en la IAO 20.1 se especifica que se debe presentar una Garantía de </w:t>
            </w:r>
            <w:r>
              <w:rPr>
                <w:rFonts w:cs="Times New Roman"/>
                <w:spacing w:val="-2"/>
                <w:sz w:val="22"/>
                <w:szCs w:val="22"/>
                <w:lang w:val="es-ES"/>
              </w:rPr>
              <w:t>Mantenimiento</w:t>
            </w:r>
            <w:r>
              <w:rPr>
                <w:rFonts w:cs="Times New Roman"/>
                <w:i/>
                <w:spacing w:val="-2"/>
                <w:sz w:val="22"/>
                <w:szCs w:val="22"/>
                <w:lang w:val="es-ES"/>
              </w:rPr>
              <w:t xml:space="preserve"> </w:t>
            </w:r>
            <w:r>
              <w:rPr>
                <w:rFonts w:cs="Times New Roman"/>
                <w:sz w:val="22"/>
                <w:szCs w:val="22"/>
                <w:lang w:val="es-ES"/>
              </w:rPr>
              <w:t>de la Oferta o una Declaración de Mantenimiento de la Oferta, toda Oferta que no vaya acompañada de una</w:t>
            </w:r>
            <w:r>
              <w:rPr>
                <w:rStyle w:val="StyleHeader2-SubClausesItalicChar"/>
                <w:rFonts w:cs="Times New Roman"/>
                <w:i w:val="0"/>
                <w:sz w:val="22"/>
                <w:szCs w:val="22"/>
                <w:lang w:val="es-ES"/>
              </w:rPr>
              <w:t xml:space="preserve"> </w:t>
            </w:r>
            <w:r>
              <w:rPr>
                <w:rFonts w:cs="Times New Roman"/>
                <w:sz w:val="22"/>
                <w:szCs w:val="22"/>
                <w:lang w:val="es-ES"/>
              </w:rPr>
              <w:t xml:space="preserve">Garantía de </w:t>
            </w:r>
            <w:r>
              <w:rPr>
                <w:rFonts w:cs="Times New Roman"/>
                <w:spacing w:val="-2"/>
                <w:sz w:val="22"/>
                <w:szCs w:val="22"/>
                <w:lang w:val="es-ES"/>
              </w:rPr>
              <w:t>Mantenimiento</w:t>
            </w:r>
            <w:r>
              <w:rPr>
                <w:rFonts w:cs="Times New Roman"/>
                <w:i/>
                <w:spacing w:val="-2"/>
                <w:sz w:val="22"/>
                <w:szCs w:val="22"/>
                <w:lang w:val="es-ES"/>
              </w:rPr>
              <w:t xml:space="preserve"> </w:t>
            </w:r>
            <w:r>
              <w:rPr>
                <w:rFonts w:cs="Times New Roman"/>
                <w:sz w:val="22"/>
                <w:szCs w:val="22"/>
                <w:lang w:val="es-ES"/>
              </w:rPr>
              <w:t xml:space="preserve">de la Oferta o una Declaración de Mantenimiento de la Oferta que se ajusten sustancialmente a los requisitos pertinentes será rechazada por el Comprador por incumplimiento.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490"/>
              <w:rPr>
                <w:rFonts w:cs="Times New Roman"/>
                <w:sz w:val="22"/>
                <w:szCs w:val="22"/>
                <w:lang w:val="es-ES"/>
              </w:rPr>
            </w:pPr>
            <w:r>
              <w:rPr>
                <w:rFonts w:cs="Times New Roman"/>
                <w:sz w:val="22"/>
                <w:szCs w:val="22"/>
                <w:lang w:val="es-ES"/>
              </w:rPr>
              <w:t>Si en la IAO 20.1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44.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490"/>
              <w:rPr>
                <w:rFonts w:cs="Times New Roman"/>
                <w:sz w:val="22"/>
                <w:szCs w:val="22"/>
                <w:lang w:val="es-ES"/>
              </w:rPr>
            </w:pPr>
            <w:r>
              <w:rPr>
                <w:rFonts w:cs="Times New Roman"/>
                <w:sz w:val="22"/>
                <w:szCs w:val="22"/>
                <w:lang w:val="es-ES"/>
              </w:rPr>
              <w:t>La Garantía de Mantenimiento de la Oferta del Oferente seleccionado se devolverá al Oferente seleccionado tan pronto como sea posible después de que este haya suscrito el Contrato y haya proporcionado la Garantía de Cumplimiento exigida.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490"/>
              <w:rPr>
                <w:rFonts w:cs="Times New Roman"/>
                <w:sz w:val="22"/>
                <w:szCs w:val="22"/>
                <w:lang w:val="es-ES"/>
              </w:rPr>
            </w:pPr>
            <w:r>
              <w:rPr>
                <w:rFonts w:cs="Times New Roman"/>
                <w:sz w:val="22"/>
                <w:szCs w:val="22"/>
                <w:lang w:val="es-ES"/>
              </w:rPr>
              <w:t>La Garantía de Mantenimiento de la Oferta se podrá hacer efectiva o la Declaración de Mantenimiento de la Oferta se podrá ejecutar:</w:t>
            </w:r>
          </w:p>
          <w:p>
            <w:pPr>
              <w:pStyle w:val="P3Header1-Clauses"/>
              <w:numPr>
                <w:ilvl w:val="0"/>
                <w:numId w:val="45"/>
              </w:numPr>
              <w:ind w:left="915" w:hanging="425"/>
              <w:rPr>
                <w:sz w:val="22"/>
                <w:szCs w:val="22"/>
                <w:lang w:val="es-ES"/>
              </w:rPr>
            </w:pPr>
            <w:r>
              <w:rPr>
                <w:sz w:val="22"/>
                <w:szCs w:val="22"/>
                <w:lang w:val="es-ES"/>
              </w:rPr>
              <w:t>si un Oferente retira la Oferta durante el Período de Validez de la Oferta especificado por el Oferente en la Carta de Oferta o durante cualquier prórroga de ese período dispuesta por el Oferente; o</w:t>
            </w:r>
          </w:p>
          <w:p>
            <w:pPr>
              <w:pStyle w:val="P3Header1-Clauses"/>
              <w:numPr>
                <w:ilvl w:val="0"/>
                <w:numId w:val="45"/>
              </w:numPr>
              <w:ind w:left="915" w:hanging="425"/>
              <w:rPr>
                <w:sz w:val="22"/>
                <w:szCs w:val="22"/>
                <w:lang w:val="es-ES"/>
              </w:rPr>
            </w:pPr>
            <w:r>
              <w:rPr>
                <w:sz w:val="22"/>
                <w:szCs w:val="22"/>
                <w:lang w:val="es-ES"/>
              </w:rPr>
              <w:t xml:space="preserve">si el Oferente seleccionado: </w:t>
            </w:r>
          </w:p>
          <w:p>
            <w:pPr>
              <w:pStyle w:val="Ttulo4"/>
              <w:numPr>
                <w:ilvl w:val="1"/>
                <w:numId w:val="20"/>
              </w:numPr>
              <w:spacing w:before="0" w:after="200"/>
              <w:ind w:left="1340" w:hanging="425"/>
              <w:rPr>
                <w:rFonts w:ascii="Times New Roman" w:hAnsi="Times New Roman" w:cs="Times New Roman"/>
                <w:sz w:val="22"/>
                <w:szCs w:val="22"/>
                <w:lang w:val="es-ES"/>
              </w:rPr>
            </w:pPr>
            <w:r>
              <w:rPr>
                <w:rFonts w:ascii="Times New Roman" w:hAnsi="Times New Roman" w:cs="Times New Roman"/>
                <w:sz w:val="22"/>
                <w:szCs w:val="22"/>
                <w:lang w:val="es-ES"/>
              </w:rPr>
              <w:t>no subscribe el Contrato de conformidad con la IAO 43; o</w:t>
            </w:r>
          </w:p>
          <w:p>
            <w:pPr>
              <w:pStyle w:val="Ttulo4"/>
              <w:numPr>
                <w:ilvl w:val="1"/>
                <w:numId w:val="20"/>
              </w:numPr>
              <w:spacing w:before="0" w:after="200"/>
              <w:ind w:left="1340" w:hanging="425"/>
              <w:rPr>
                <w:rFonts w:ascii="Times New Roman" w:hAnsi="Times New Roman" w:cs="Times New Roman"/>
                <w:sz w:val="22"/>
                <w:szCs w:val="22"/>
                <w:lang w:val="es-ES"/>
              </w:rPr>
            </w:pPr>
            <w:r>
              <w:rPr>
                <w:rFonts w:ascii="Times New Roman" w:hAnsi="Times New Roman" w:cs="Times New Roman"/>
                <w:sz w:val="22"/>
                <w:szCs w:val="22"/>
                <w:lang w:val="es-ES"/>
              </w:rPr>
              <w:t>no suministra una Garantía de Cumplimiento, conforme a lo establecido en la IAO 44.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La Garantía de Mantenimiento de la Oferta o la Declaración de Mantenimiento de la Oferta de una </w:t>
            </w:r>
            <w:r>
              <w:rPr>
                <w:rStyle w:val="StyleHeader2-SubClausesItalicChar"/>
                <w:rFonts w:cs="Times New Roman"/>
                <w:i w:val="0"/>
                <w:sz w:val="22"/>
                <w:szCs w:val="22"/>
                <w:lang w:val="es-ES"/>
              </w:rPr>
              <w:t xml:space="preserve">APCA </w:t>
            </w:r>
            <w:r>
              <w:rPr>
                <w:rFonts w:cs="Times New Roman"/>
                <w:sz w:val="22"/>
                <w:szCs w:val="22"/>
                <w:lang w:val="es-ES"/>
              </w:rPr>
              <w:t>se emitirán en nombre de la a</w:t>
            </w:r>
            <w:r>
              <w:rPr>
                <w:rStyle w:val="StyleHeader2-SubClausesItalicChar"/>
                <w:rFonts w:cs="Times New Roman"/>
                <w:i w:val="0"/>
                <w:sz w:val="22"/>
                <w:szCs w:val="22"/>
                <w:lang w:val="es-ES"/>
              </w:rPr>
              <w:t xml:space="preserve">sociación que presenta la Oferta. </w:t>
            </w:r>
            <w:r>
              <w:rPr>
                <w:rFonts w:cs="Times New Roman"/>
                <w:sz w:val="22"/>
                <w:szCs w:val="22"/>
                <w:lang w:val="es-ES"/>
              </w:rPr>
              <w:t xml:space="preserve">Si el </w:t>
            </w:r>
            <w:r>
              <w:rPr>
                <w:rStyle w:val="StyleHeader2-SubClausesItalicChar"/>
                <w:rFonts w:cs="Times New Roman"/>
                <w:i w:val="0"/>
                <w:sz w:val="22"/>
                <w:szCs w:val="22"/>
                <w:lang w:val="es-ES"/>
              </w:rPr>
              <w:t xml:space="preserve">APCA </w:t>
            </w:r>
            <w:r>
              <w:rPr>
                <w:rFonts w:cs="Times New Roman"/>
                <w:sz w:val="22"/>
                <w:szCs w:val="22"/>
                <w:lang w:val="es-ES"/>
              </w:rPr>
              <w:t>no se hubiera constituido formalmente como entidad jurídica al momento de presentar la Oferta</w:t>
            </w:r>
            <w:r>
              <w:rPr>
                <w:rFonts w:cs="Times New Roman"/>
                <w:i/>
                <w:sz w:val="22"/>
                <w:szCs w:val="22"/>
                <w:lang w:val="es-ES"/>
              </w:rPr>
              <w:t>,</w:t>
            </w:r>
            <w:r>
              <w:rPr>
                <w:rFonts w:cs="Times New Roman"/>
                <w:sz w:val="22"/>
                <w:szCs w:val="22"/>
                <w:lang w:val="es-ES"/>
              </w:rPr>
              <w:t xml:space="preserve"> la Garantía de Mantenimiento de la Oferta o la Declaración de Mantenimiento de la Oferta se emitirán en nombre de todos los futuros miembros que figuren en la carta de intención mencionada en la IAO 12.2.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Si</w:t>
            </w:r>
            <w:r>
              <w:rPr>
                <w:rStyle w:val="StyleHeader2-SubClausesBoldChar"/>
                <w:rFonts w:cs="Times New Roman"/>
                <w:b w:val="0"/>
                <w:sz w:val="22"/>
                <w:szCs w:val="22"/>
                <w:lang w:val="es-ES"/>
              </w:rPr>
              <w:t xml:space="preserve"> en </w:t>
            </w:r>
            <w:r>
              <w:rPr>
                <w:rStyle w:val="StyleHeader2-SubClausesBoldChar"/>
                <w:rFonts w:cs="Times New Roman"/>
                <w:sz w:val="22"/>
                <w:szCs w:val="22"/>
                <w:lang w:val="es-ES"/>
              </w:rPr>
              <w:t>los DDL</w:t>
            </w:r>
            <w:r>
              <w:rPr>
                <w:rFonts w:cs="Times New Roman"/>
                <w:sz w:val="22"/>
                <w:szCs w:val="22"/>
                <w:lang w:val="es-ES"/>
              </w:rPr>
              <w:t>, de conformidad con la IAO 20.1, no se exige una Garantía de Mantenimiento de la Oferta, y</w:t>
            </w:r>
          </w:p>
          <w:p>
            <w:pPr>
              <w:pStyle w:val="P3Header1-Clauses"/>
              <w:numPr>
                <w:ilvl w:val="0"/>
                <w:numId w:val="34"/>
              </w:numPr>
              <w:rPr>
                <w:i/>
                <w:sz w:val="22"/>
                <w:szCs w:val="22"/>
                <w:lang w:val="es-ES"/>
              </w:rPr>
            </w:pPr>
            <w:r>
              <w:rPr>
                <w:sz w:val="22"/>
                <w:szCs w:val="22"/>
                <w:lang w:val="es-ES"/>
              </w:rPr>
              <w:t>si un Oferente retira su Oferta durante el Período de Validez de la Oferta especificado por el Oferente en las Cartas de Oferta, o,</w:t>
            </w:r>
          </w:p>
          <w:p>
            <w:pPr>
              <w:pStyle w:val="P3Header1-Clauses"/>
              <w:numPr>
                <w:ilvl w:val="0"/>
                <w:numId w:val="34"/>
              </w:numPr>
              <w:rPr>
                <w:i/>
                <w:sz w:val="22"/>
                <w:szCs w:val="22"/>
                <w:lang w:val="es-ES"/>
              </w:rPr>
            </w:pPr>
            <w:r>
              <w:rPr>
                <w:sz w:val="22"/>
                <w:szCs w:val="22"/>
                <w:lang w:val="es-ES"/>
              </w:rPr>
              <w:t>si el Oferente seleccionado no subscribe el Contrato con arreglo a lo dispuesto en la IAO 43 o no suministra una Garantía de Cumplimiento conforme a lo establecido en la IAO 44,</w:t>
            </w:r>
          </w:p>
          <w:p>
            <w:pPr>
              <w:spacing w:after="200"/>
              <w:ind w:left="562"/>
              <w:jc w:val="both"/>
              <w:rPr>
                <w:sz w:val="22"/>
                <w:szCs w:val="22"/>
                <w:lang w:val="es-ES"/>
              </w:rPr>
            </w:pPr>
            <w:r>
              <w:rPr>
                <w:sz w:val="22"/>
                <w:szCs w:val="22"/>
                <w:lang w:val="es-ES"/>
              </w:rPr>
              <w:lastRenderedPageBreak/>
              <w:t xml:space="preserve">el Prestatario puede, cuando así se disponga </w:t>
            </w:r>
            <w:r>
              <w:rPr>
                <w:rStyle w:val="StyleHeader2-SubClausesBoldChar"/>
                <w:b w:val="0"/>
                <w:sz w:val="22"/>
                <w:szCs w:val="22"/>
                <w:lang w:val="es-ES"/>
              </w:rPr>
              <w:t>en</w:t>
            </w:r>
            <w:r>
              <w:rPr>
                <w:rStyle w:val="StyleHeader2-SubClausesBoldChar"/>
                <w:sz w:val="22"/>
                <w:szCs w:val="22"/>
                <w:lang w:val="es-ES"/>
              </w:rPr>
              <w:t xml:space="preserve"> los DDL</w:t>
            </w:r>
            <w:r>
              <w:rPr>
                <w:b/>
                <w:sz w:val="22"/>
                <w:szCs w:val="22"/>
                <w:lang w:val="es-ES"/>
              </w:rPr>
              <w:t>,</w:t>
            </w:r>
            <w:r>
              <w:rPr>
                <w:sz w:val="22"/>
                <w:szCs w:val="22"/>
                <w:lang w:val="es-ES"/>
              </w:rPr>
              <w:t xml:space="preserve"> declarar al Oferente no elegible para ser adjudicatario de un contrato por parte del Comprador durante el período que se establezca </w:t>
            </w:r>
            <w:r>
              <w:rPr>
                <w:rStyle w:val="StyleHeader2-SubClausesBoldChar"/>
                <w:b w:val="0"/>
                <w:sz w:val="22"/>
                <w:szCs w:val="22"/>
                <w:lang w:val="es-ES"/>
              </w:rPr>
              <w:t>en</w:t>
            </w:r>
            <w:r>
              <w:rPr>
                <w:rStyle w:val="StyleHeader2-SubClausesBoldChar"/>
                <w:sz w:val="22"/>
                <w:szCs w:val="22"/>
                <w:lang w:val="es-ES"/>
              </w:rPr>
              <w:t xml:space="preserve"> los DDL</w:t>
            </w:r>
            <w:r>
              <w:rPr>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216" w:name="_Toc438438843"/>
            <w:bookmarkStart w:id="217" w:name="_Toc438532612"/>
            <w:bookmarkStart w:id="218" w:name="_Toc438733987"/>
            <w:bookmarkStart w:id="219" w:name="_Toc438907026"/>
            <w:bookmarkStart w:id="220" w:name="_Toc438907225"/>
            <w:bookmarkStart w:id="221" w:name="_Toc97371023"/>
            <w:bookmarkStart w:id="222" w:name="_Toc139863122"/>
            <w:bookmarkStart w:id="223" w:name="_Toc325723938"/>
            <w:bookmarkStart w:id="224" w:name="_Toc440526031"/>
            <w:bookmarkStart w:id="225" w:name="_Toc435624832"/>
            <w:bookmarkStart w:id="226" w:name="_Toc455487613"/>
            <w:bookmarkStart w:id="227" w:name="_Toc26891435"/>
            <w:bookmarkStart w:id="228" w:name="_Toc175256895"/>
            <w:r>
              <w:rPr>
                <w:rFonts w:ascii="Times New Roman" w:hAnsi="Times New Roman"/>
              </w:rPr>
              <w:lastRenderedPageBreak/>
              <w:t>Formato y Firma de la Oferta</w:t>
            </w:r>
            <w:bookmarkEnd w:id="216"/>
            <w:bookmarkEnd w:id="217"/>
            <w:bookmarkEnd w:id="218"/>
            <w:bookmarkEnd w:id="219"/>
            <w:bookmarkEnd w:id="220"/>
            <w:bookmarkEnd w:id="221"/>
            <w:bookmarkEnd w:id="222"/>
            <w:bookmarkEnd w:id="223"/>
            <w:bookmarkEnd w:id="224"/>
            <w:bookmarkEnd w:id="225"/>
            <w:bookmarkEnd w:id="226"/>
            <w:bookmarkEnd w:id="227"/>
            <w:bookmarkEnd w:id="228"/>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Pr>
                <w:rFonts w:cs="Times New Roman"/>
                <w:b/>
                <w:bCs/>
                <w:sz w:val="22"/>
                <w:szCs w:val="22"/>
                <w:lang w:val="es-ES"/>
              </w:rPr>
              <w:t>que se indica en los DDL</w:t>
            </w:r>
            <w:r>
              <w:rPr>
                <w:rFonts w:cs="Times New Roman"/>
                <w:sz w:val="22"/>
                <w:szCs w:val="22"/>
                <w:lang w:val="es-ES"/>
              </w:rPr>
              <w:t xml:space="preserve"> y marcar claramente cada ejemplar como “Copia”. En caso de discrepancia, el texto del original prevalecerá sobre el de las copias.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color w:val="000000" w:themeColor="text1"/>
                <w:sz w:val="22"/>
                <w:szCs w:val="22"/>
                <w:lang w:val="es-ES"/>
              </w:rPr>
              <w:t>Los Oferentes marcarán como “Confidencial” la información relativa a sus actividades comerciales consignada en sus Ofertas que tenga ese carácter, como, por ejemplo, la información amparada por patentes, los secretos de fabricación o la información delicada de índole comercial o financiera.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El original y todas las copias de la Oferta deberán ser mecanografiadas o escritas con tinta indeleble y deberán estar firmadas por la persona debidamente autorizada para firmar en nombre del Oferente. </w:t>
            </w:r>
            <w:r>
              <w:rPr>
                <w:rFonts w:cs="Times New Roman"/>
                <w:iCs/>
                <w:sz w:val="22"/>
                <w:szCs w:val="22"/>
                <w:lang w:val="es-ES"/>
              </w:rPr>
              <w:t xml:space="preserve">Esta autorización consistirá en una confirmación escrita, según se </w:t>
            </w:r>
            <w:r>
              <w:rPr>
                <w:rFonts w:cs="Times New Roman"/>
                <w:bCs/>
                <w:iCs/>
                <w:sz w:val="22"/>
                <w:szCs w:val="22"/>
                <w:lang w:val="es-ES"/>
              </w:rPr>
              <w:t xml:space="preserve">especifica </w:t>
            </w:r>
            <w:r>
              <w:rPr>
                <w:rFonts w:cs="Times New Roman"/>
                <w:b/>
                <w:bCs/>
                <w:iCs/>
                <w:sz w:val="22"/>
                <w:szCs w:val="22"/>
                <w:lang w:val="es-ES"/>
              </w:rPr>
              <w:t>en los DDL</w:t>
            </w:r>
            <w:r>
              <w:rPr>
                <w:rFonts w:cs="Times New Roman"/>
                <w:iCs/>
                <w:sz w:val="22"/>
                <w:szCs w:val="22"/>
                <w:lang w:val="es-ES"/>
              </w:rPr>
              <w:t xml:space="preserve">, la cual deberá adjuntarse a la Oferta. El nombre y el cargo de cada persona que firme la autorización deberán escribirse en letra de imprenta o imprimirse bajo su firma. </w:t>
            </w:r>
            <w:r>
              <w:rPr>
                <w:rFonts w:cs="Times New Roman"/>
                <w:sz w:val="22"/>
                <w:szCs w:val="22"/>
                <w:lang w:val="es-ES"/>
              </w:rPr>
              <w:t>Todas las páginas de la Oferta que contengan anotaciones o enmiendas deberán estar firmadas o inicialadas por la persona que suscriba la Oferta</w:t>
            </w:r>
            <w:r>
              <w:rPr>
                <w:rFonts w:cs="Times New Roman"/>
                <w:iCs/>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Cuando el Oferente sea una APCA, la Oferta debe estar firmada por un representante autorizado de la APCA en nombre de esta, de manera que sea jurídicamente vinculante para todos los miembros, como lo demuestre un poder suscrito por sus representantes legalmente autorizados.</w:t>
            </w:r>
          </w:p>
          <w:p>
            <w:pPr>
              <w:pStyle w:val="Header2-SubClauses"/>
              <w:ind w:left="620" w:hanging="634"/>
              <w:rPr>
                <w:rFonts w:cs="Times New Roman"/>
                <w:sz w:val="22"/>
                <w:szCs w:val="22"/>
                <w:lang w:val="es-ES"/>
              </w:rPr>
            </w:pPr>
            <w:r>
              <w:rPr>
                <w:rFonts w:cs="Times New Roman"/>
                <w:sz w:val="22"/>
                <w:szCs w:val="22"/>
                <w:lang w:val="es-ES"/>
              </w:rPr>
              <w:t>Las interlineaciones, las raspaduras o las enmiendas solo serán válidas si están firmadas o inicialadas por la persona que suscriba la Oferta.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pPr>
              <w:pStyle w:val="Subsecciones"/>
              <w:rPr>
                <w:rFonts w:ascii="Times New Roman" w:hAnsi="Times New Roman"/>
                <w:szCs w:val="22"/>
              </w:rPr>
            </w:pPr>
            <w:bookmarkStart w:id="229" w:name="_Toc26891436"/>
            <w:bookmarkStart w:id="230" w:name="_Toc175256896"/>
            <w:r>
              <w:rPr>
                <w:rFonts w:ascii="Times New Roman" w:hAnsi="Times New Roman"/>
                <w:szCs w:val="22"/>
              </w:rPr>
              <w:t>Presentación y Apertura de las Ofertas</w:t>
            </w:r>
            <w:bookmarkEnd w:id="229"/>
            <w:bookmarkEnd w:id="230"/>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231" w:name="_Toc438438845"/>
            <w:bookmarkStart w:id="232" w:name="_Toc438532614"/>
            <w:bookmarkStart w:id="233" w:name="_Toc438733989"/>
            <w:bookmarkStart w:id="234" w:name="_Toc438907027"/>
            <w:bookmarkStart w:id="235" w:name="_Toc438907226"/>
            <w:bookmarkStart w:id="236" w:name="_Toc97371025"/>
            <w:bookmarkStart w:id="237" w:name="_Toc139863123"/>
            <w:bookmarkStart w:id="238" w:name="_Toc325723940"/>
            <w:bookmarkStart w:id="239" w:name="_Toc440526033"/>
            <w:bookmarkStart w:id="240" w:name="_Toc435624834"/>
            <w:bookmarkStart w:id="241" w:name="_Toc455487614"/>
            <w:bookmarkStart w:id="242" w:name="_Toc26891437"/>
            <w:bookmarkStart w:id="243" w:name="_Toc175256897"/>
            <w:r>
              <w:rPr>
                <w:rFonts w:ascii="Times New Roman" w:hAnsi="Times New Roman"/>
              </w:rPr>
              <w:t>Cierre e Identificación de las Ofertas</w:t>
            </w:r>
            <w:bookmarkEnd w:id="231"/>
            <w:bookmarkEnd w:id="232"/>
            <w:bookmarkEnd w:id="233"/>
            <w:bookmarkEnd w:id="234"/>
            <w:bookmarkEnd w:id="235"/>
            <w:bookmarkEnd w:id="236"/>
            <w:bookmarkEnd w:id="237"/>
            <w:bookmarkEnd w:id="238"/>
            <w:bookmarkEnd w:id="239"/>
            <w:bookmarkEnd w:id="240"/>
            <w:bookmarkEnd w:id="241"/>
            <w:bookmarkEnd w:id="242"/>
            <w:bookmarkEnd w:id="243"/>
          </w:p>
        </w:tc>
        <w:tc>
          <w:tcPr>
            <w:tcW w:w="7053" w:type="dxa"/>
            <w:tcBorders>
              <w:top w:val="nil"/>
              <w:left w:val="nil"/>
              <w:bottom w:val="nil"/>
              <w:right w:val="nil"/>
            </w:tcBorders>
          </w:tcPr>
          <w:p>
            <w:pPr>
              <w:pStyle w:val="Sub-ClauseText"/>
              <w:numPr>
                <w:ilvl w:val="1"/>
                <w:numId w:val="70"/>
              </w:numPr>
              <w:overflowPunct/>
              <w:autoSpaceDE/>
              <w:autoSpaceDN/>
              <w:adjustRightInd/>
              <w:spacing w:before="0" w:after="200"/>
              <w:textAlignment w:val="auto"/>
              <w:rPr>
                <w:spacing w:val="0"/>
                <w:sz w:val="22"/>
                <w:szCs w:val="22"/>
                <w:lang w:val="es-ES"/>
              </w:rPr>
            </w:pPr>
            <w:r>
              <w:rPr>
                <w:spacing w:val="0"/>
                <w:sz w:val="22"/>
                <w:szCs w:val="22"/>
                <w:lang w:val="es-ES"/>
              </w:rPr>
              <w:t>El Oferente deberá presentar la Oferta en un único sobre cerrado (proceso de Licitación con mecanismo de sobre único), en cuyo interior deberá colocar los siguientes sobres cerrados:</w:t>
            </w:r>
          </w:p>
          <w:p>
            <w:pPr>
              <w:pStyle w:val="Sub-ClauseText"/>
              <w:numPr>
                <w:ilvl w:val="2"/>
                <w:numId w:val="70"/>
              </w:numPr>
              <w:overflowPunct/>
              <w:autoSpaceDE/>
              <w:autoSpaceDN/>
              <w:adjustRightInd/>
              <w:spacing w:before="0" w:after="200"/>
              <w:ind w:left="1151" w:hanging="544"/>
              <w:textAlignment w:val="auto"/>
              <w:rPr>
                <w:spacing w:val="0"/>
                <w:sz w:val="22"/>
                <w:szCs w:val="22"/>
                <w:lang w:val="es-ES"/>
              </w:rPr>
            </w:pPr>
            <w:r>
              <w:rPr>
                <w:spacing w:val="-2"/>
                <w:sz w:val="22"/>
                <w:szCs w:val="22"/>
                <w:lang w:val="es-ES"/>
              </w:rPr>
              <w:t>un sobre identificado como “</w:t>
            </w:r>
            <w:r>
              <w:rPr>
                <w:smallCaps/>
                <w:spacing w:val="-2"/>
                <w:sz w:val="22"/>
                <w:szCs w:val="22"/>
                <w:lang w:val="es-ES"/>
              </w:rPr>
              <w:t>Original</w:t>
            </w:r>
            <w:r>
              <w:rPr>
                <w:spacing w:val="-2"/>
                <w:sz w:val="22"/>
                <w:szCs w:val="22"/>
                <w:lang w:val="es-ES"/>
              </w:rPr>
              <w:t>”, que contendrá</w:t>
            </w:r>
            <w:r>
              <w:rPr>
                <w:spacing w:val="0"/>
                <w:sz w:val="22"/>
                <w:szCs w:val="22"/>
                <w:lang w:val="es-ES"/>
              </w:rPr>
              <w:t xml:space="preserve"> todos los documentos que componen la Oferta, como se describe en la IAO 12;</w:t>
            </w:r>
          </w:p>
          <w:p>
            <w:pPr>
              <w:pStyle w:val="Sub-ClauseText"/>
              <w:numPr>
                <w:ilvl w:val="2"/>
                <w:numId w:val="70"/>
              </w:numPr>
              <w:overflowPunct/>
              <w:autoSpaceDE/>
              <w:autoSpaceDN/>
              <w:adjustRightInd/>
              <w:spacing w:before="0" w:after="200"/>
              <w:ind w:left="1151" w:hanging="544"/>
              <w:textAlignment w:val="auto"/>
              <w:rPr>
                <w:spacing w:val="0"/>
                <w:sz w:val="22"/>
                <w:szCs w:val="22"/>
                <w:lang w:val="es-ES"/>
              </w:rPr>
            </w:pPr>
            <w:r>
              <w:rPr>
                <w:spacing w:val="0"/>
                <w:sz w:val="22"/>
                <w:szCs w:val="22"/>
                <w:lang w:val="es-ES"/>
              </w:rPr>
              <w:t>un sobre identificado como “</w:t>
            </w:r>
            <w:r>
              <w:rPr>
                <w:smallCaps/>
                <w:spacing w:val="0"/>
                <w:sz w:val="22"/>
                <w:szCs w:val="22"/>
                <w:lang w:val="es-ES"/>
              </w:rPr>
              <w:t>Copias</w:t>
            </w:r>
            <w:r>
              <w:rPr>
                <w:spacing w:val="0"/>
                <w:sz w:val="22"/>
                <w:szCs w:val="22"/>
                <w:lang w:val="es-ES"/>
              </w:rPr>
              <w:t>”, que contendrá las copias de la Oferta que se hubieran solicitado;</w:t>
            </w:r>
          </w:p>
          <w:p>
            <w:pPr>
              <w:pStyle w:val="Sub-ClauseText"/>
              <w:numPr>
                <w:ilvl w:val="2"/>
                <w:numId w:val="70"/>
              </w:numPr>
              <w:overflowPunct/>
              <w:autoSpaceDE/>
              <w:autoSpaceDN/>
              <w:adjustRightInd/>
              <w:spacing w:before="0" w:after="200"/>
              <w:ind w:left="1151" w:hanging="544"/>
              <w:textAlignment w:val="auto"/>
              <w:rPr>
                <w:spacing w:val="0"/>
                <w:sz w:val="22"/>
                <w:szCs w:val="22"/>
                <w:lang w:val="es-ES"/>
              </w:rPr>
            </w:pPr>
            <w:r>
              <w:rPr>
                <w:spacing w:val="0"/>
                <w:sz w:val="22"/>
                <w:szCs w:val="22"/>
                <w:lang w:val="es-ES"/>
              </w:rPr>
              <w:t>si se permiten Ofertas alternativas según lo dispuesto en la IAO 14 y, si corresponde:</w:t>
            </w:r>
          </w:p>
          <w:p>
            <w:pPr>
              <w:pStyle w:val="Sub-ClauseText"/>
              <w:numPr>
                <w:ilvl w:val="0"/>
                <w:numId w:val="72"/>
              </w:numPr>
              <w:overflowPunct/>
              <w:autoSpaceDE/>
              <w:autoSpaceDN/>
              <w:adjustRightInd/>
              <w:spacing w:before="0" w:after="200"/>
              <w:ind w:left="1624" w:hanging="422"/>
              <w:textAlignment w:val="auto"/>
              <w:rPr>
                <w:spacing w:val="0"/>
                <w:sz w:val="22"/>
                <w:szCs w:val="22"/>
                <w:lang w:val="es-ES"/>
              </w:rPr>
            </w:pPr>
            <w:r>
              <w:rPr>
                <w:spacing w:val="0"/>
                <w:sz w:val="22"/>
                <w:szCs w:val="22"/>
                <w:lang w:val="es-ES"/>
              </w:rPr>
              <w:lastRenderedPageBreak/>
              <w:t>un sobre identificado como “</w:t>
            </w:r>
            <w:r>
              <w:rPr>
                <w:smallCaps/>
                <w:spacing w:val="0"/>
                <w:sz w:val="22"/>
                <w:szCs w:val="22"/>
                <w:lang w:val="es-ES"/>
              </w:rPr>
              <w:t>Original: Oferta alternativa</w:t>
            </w:r>
            <w:r>
              <w:rPr>
                <w:spacing w:val="0"/>
                <w:sz w:val="22"/>
                <w:szCs w:val="22"/>
                <w:lang w:val="es-ES"/>
              </w:rPr>
              <w:t>”, donde se colocará la Oferta alternativa,</w:t>
            </w:r>
          </w:p>
          <w:p>
            <w:pPr>
              <w:pStyle w:val="Sub-ClauseText"/>
              <w:numPr>
                <w:ilvl w:val="0"/>
                <w:numId w:val="72"/>
              </w:numPr>
              <w:overflowPunct/>
              <w:autoSpaceDE/>
              <w:autoSpaceDN/>
              <w:adjustRightInd/>
              <w:spacing w:before="0" w:after="200"/>
              <w:ind w:left="1624" w:hanging="422"/>
              <w:textAlignment w:val="auto"/>
              <w:rPr>
                <w:spacing w:val="0"/>
                <w:sz w:val="22"/>
                <w:szCs w:val="22"/>
                <w:lang w:val="es-ES"/>
              </w:rPr>
            </w:pPr>
            <w:r>
              <w:rPr>
                <w:spacing w:val="0"/>
                <w:sz w:val="22"/>
                <w:szCs w:val="22"/>
                <w:lang w:val="es-ES"/>
              </w:rPr>
              <w:t>un sobre identificado como “</w:t>
            </w:r>
            <w:r>
              <w:rPr>
                <w:smallCaps/>
                <w:spacing w:val="0"/>
                <w:sz w:val="22"/>
                <w:szCs w:val="22"/>
                <w:lang w:val="es-ES"/>
              </w:rPr>
              <w:t>Copias: Oferta alternativa</w:t>
            </w:r>
            <w:r>
              <w:rPr>
                <w:spacing w:val="0"/>
                <w:sz w:val="22"/>
                <w:szCs w:val="22"/>
                <w:lang w:val="es-ES"/>
              </w:rPr>
              <w:t>”, donde se colocarán todas las copias de la Oferta alternativa que se hubieran solicitado.</w:t>
            </w:r>
          </w:p>
          <w:p>
            <w:pPr>
              <w:pStyle w:val="Sub-ClauseText"/>
              <w:numPr>
                <w:ilvl w:val="1"/>
                <w:numId w:val="70"/>
              </w:numPr>
              <w:overflowPunct/>
              <w:autoSpaceDE/>
              <w:autoSpaceDN/>
              <w:adjustRightInd/>
              <w:spacing w:before="0" w:after="200"/>
              <w:textAlignment w:val="auto"/>
              <w:rPr>
                <w:spacing w:val="0"/>
                <w:sz w:val="22"/>
                <w:szCs w:val="22"/>
                <w:lang w:val="es-ES"/>
              </w:rPr>
            </w:pPr>
            <w:r>
              <w:rPr>
                <w:spacing w:val="0"/>
                <w:sz w:val="22"/>
                <w:szCs w:val="22"/>
                <w:lang w:val="es-ES"/>
              </w:rPr>
              <w:t>Los sobres interiores y exteriores deberán:</w:t>
            </w:r>
          </w:p>
          <w:p>
            <w:pPr>
              <w:pStyle w:val="Ttulo3"/>
              <w:keepNext w:val="0"/>
              <w:numPr>
                <w:ilvl w:val="2"/>
                <w:numId w:val="71"/>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llevar el nombre y la dirección del Oferente;</w:t>
            </w:r>
          </w:p>
          <w:p>
            <w:pPr>
              <w:pStyle w:val="Ttulo3"/>
              <w:keepNext w:val="0"/>
              <w:numPr>
                <w:ilvl w:val="2"/>
                <w:numId w:val="71"/>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estar dirigidos al Comprador de acuerdo con lo indicado en la IAO 23.1;</w:t>
            </w:r>
          </w:p>
          <w:p>
            <w:pPr>
              <w:pStyle w:val="Ttulo3"/>
              <w:keepNext w:val="0"/>
              <w:numPr>
                <w:ilvl w:val="2"/>
                <w:numId w:val="71"/>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llevar la identificación específica de este proceso de Licitación indicada en la IAO 1.1; y</w:t>
            </w:r>
          </w:p>
          <w:p>
            <w:pPr>
              <w:pStyle w:val="Ttulo3"/>
              <w:keepNext w:val="0"/>
              <w:numPr>
                <w:ilvl w:val="2"/>
                <w:numId w:val="71"/>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llevar la advertencia de no abrir antes de la hora y fecha de apertura de Ofertas.</w:t>
            </w:r>
          </w:p>
          <w:p>
            <w:pPr>
              <w:pStyle w:val="Sub-ClauseText"/>
              <w:numPr>
                <w:ilvl w:val="1"/>
                <w:numId w:val="70"/>
              </w:numPr>
              <w:overflowPunct/>
              <w:autoSpaceDE/>
              <w:autoSpaceDN/>
              <w:adjustRightInd/>
              <w:spacing w:before="0" w:after="200"/>
              <w:textAlignment w:val="auto"/>
              <w:rPr>
                <w:sz w:val="22"/>
                <w:szCs w:val="22"/>
                <w:lang w:val="es-ES"/>
              </w:rPr>
            </w:pPr>
            <w:r>
              <w:rPr>
                <w:spacing w:val="0"/>
                <w:sz w:val="22"/>
                <w:szCs w:val="22"/>
                <w:lang w:val="es-ES"/>
              </w:rPr>
              <w:t>Si los sobres no están cerrados e identificados como se requiere, el Comprador no se responsabilizará en caso de que la Oferta se extravíe o sea abierta prematuramente.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656" w:type="dxa"/>
            <w:tcBorders>
              <w:top w:val="nil"/>
              <w:left w:val="nil"/>
              <w:bottom w:val="nil"/>
              <w:right w:val="nil"/>
            </w:tcBorders>
          </w:tcPr>
          <w:p>
            <w:pPr>
              <w:pStyle w:val="IAOs"/>
              <w:rPr>
                <w:rFonts w:ascii="Times New Roman" w:hAnsi="Times New Roman"/>
              </w:rPr>
            </w:pPr>
            <w:bookmarkStart w:id="244" w:name="_Toc19087947"/>
            <w:bookmarkStart w:id="245" w:name="_Toc19095256"/>
            <w:bookmarkStart w:id="246" w:name="_Toc19087950"/>
            <w:bookmarkStart w:id="247" w:name="_Toc19095259"/>
            <w:bookmarkStart w:id="248" w:name="_Toc455487615"/>
            <w:bookmarkStart w:id="249" w:name="_Toc26891438"/>
            <w:bookmarkStart w:id="250" w:name="_Toc175256898"/>
            <w:bookmarkEnd w:id="244"/>
            <w:bookmarkEnd w:id="245"/>
            <w:bookmarkEnd w:id="246"/>
            <w:bookmarkEnd w:id="247"/>
            <w:r>
              <w:rPr>
                <w:rFonts w:ascii="Times New Roman" w:hAnsi="Times New Roman"/>
              </w:rPr>
              <w:lastRenderedPageBreak/>
              <w:t>Plazo para la Presentación de las Ofertas</w:t>
            </w:r>
            <w:bookmarkEnd w:id="248"/>
            <w:bookmarkEnd w:id="249"/>
            <w:bookmarkEnd w:id="250"/>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El </w:t>
            </w:r>
            <w:r>
              <w:rPr>
                <w:rStyle w:val="StyleHeader2-SubClausesItalicChar"/>
                <w:rFonts w:cs="Times New Roman"/>
                <w:i w:val="0"/>
                <w:sz w:val="22"/>
                <w:szCs w:val="22"/>
                <w:lang w:val="es-ES"/>
              </w:rPr>
              <w:t>Comprador</w:t>
            </w:r>
            <w:r>
              <w:rPr>
                <w:rFonts w:cs="Times New Roman"/>
                <w:sz w:val="22"/>
                <w:szCs w:val="22"/>
                <w:lang w:val="es-ES"/>
              </w:rPr>
              <w:t xml:space="preserve"> debe recibir las Ofertas en la dirección y a más tardar en la fecha y hora que se indican </w:t>
            </w:r>
            <w:r>
              <w:rPr>
                <w:rFonts w:cs="Times New Roman"/>
                <w:b/>
                <w:sz w:val="22"/>
                <w:szCs w:val="22"/>
                <w:lang w:val="es-ES"/>
              </w:rPr>
              <w:t>en los DDL</w:t>
            </w:r>
            <w:r>
              <w:rPr>
                <w:rFonts w:cs="Times New Roman"/>
                <w:sz w:val="22"/>
                <w:szCs w:val="22"/>
                <w:lang w:val="es-ES"/>
              </w:rPr>
              <w:t xml:space="preserve">. Cuando se especifique </w:t>
            </w:r>
            <w:r>
              <w:rPr>
                <w:rFonts w:cs="Times New Roman"/>
                <w:b/>
                <w:bCs/>
                <w:sz w:val="22"/>
                <w:szCs w:val="22"/>
                <w:lang w:val="es-ES"/>
              </w:rPr>
              <w:t>en los DDL</w:t>
            </w:r>
            <w:r>
              <w:rPr>
                <w:rFonts w:cs="Times New Roman"/>
                <w:sz w:val="22"/>
                <w:szCs w:val="22"/>
                <w:lang w:val="es-ES"/>
              </w:rPr>
              <w:t xml:space="preserve">, los Oferentes tendrán la posibilidad de presentar sus Ofertas en forma electrónica. Los que opten por esta modalidad deberán ajustarse a los procedimientos de presentación electrónica de Ofertas establecidos </w:t>
            </w:r>
            <w:r>
              <w:rPr>
                <w:rFonts w:cs="Times New Roman"/>
                <w:b/>
                <w:bCs/>
                <w:sz w:val="22"/>
                <w:szCs w:val="22"/>
                <w:lang w:val="es-ES"/>
              </w:rPr>
              <w:t>en los DDL</w:t>
            </w:r>
            <w:r>
              <w:rPr>
                <w:rStyle w:val="StyleHeader2-SubClausesBoldChar"/>
                <w:rFonts w:cs="Times New Roman"/>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El </w:t>
            </w:r>
            <w:r>
              <w:rPr>
                <w:rStyle w:val="StyleHeader2-SubClausesItalicChar"/>
                <w:rFonts w:cs="Times New Roman"/>
                <w:i w:val="0"/>
                <w:sz w:val="22"/>
                <w:szCs w:val="22"/>
                <w:lang w:val="es-ES"/>
              </w:rPr>
              <w:t>Comprador</w:t>
            </w:r>
            <w:r>
              <w:rPr>
                <w:rFonts w:cs="Times New Roman"/>
                <w:sz w:val="22"/>
                <w:szCs w:val="22"/>
                <w:lang w:val="es-ES"/>
              </w:rPr>
              <w:t xml:space="preserve"> puede, a su criterio, extender el plazo para la presentación de Ofertas modificando el Documento de Licitación, de acuerdo con la IAO 9, en cuyo caso todos los derechos y las obligaciones del Comprador y de los Oferentes sujetos a la fecha límite original para presentar las Ofertas quedarán sujetos a la nueva fecha límite.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251" w:name="_Toc455487616"/>
            <w:bookmarkStart w:id="252" w:name="_Toc26891439"/>
            <w:bookmarkStart w:id="253" w:name="_Toc175256899"/>
            <w:r>
              <w:rPr>
                <w:rFonts w:ascii="Times New Roman" w:hAnsi="Times New Roman"/>
              </w:rPr>
              <w:t>Ofertas Tardías</w:t>
            </w:r>
            <w:bookmarkEnd w:id="251"/>
            <w:bookmarkEnd w:id="252"/>
            <w:bookmarkEnd w:id="253"/>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El </w:t>
            </w:r>
            <w:r>
              <w:rPr>
                <w:rStyle w:val="StyleHeader2-SubClausesItalicChar"/>
                <w:rFonts w:cs="Times New Roman"/>
                <w:i w:val="0"/>
                <w:sz w:val="22"/>
                <w:szCs w:val="22"/>
                <w:lang w:val="es-ES"/>
              </w:rPr>
              <w:t>Comprador</w:t>
            </w:r>
            <w:r>
              <w:rPr>
                <w:rFonts w:cs="Times New Roman"/>
                <w:sz w:val="22"/>
                <w:szCs w:val="22"/>
                <w:lang w:val="es-ES"/>
              </w:rPr>
              <w:t xml:space="preserve"> no tendrá en cuenta ninguna Oferta que reciba después de la fecha límite para la presentación de las Ofertas especificada de conformidad con la IAO 23. Todas las Ofertas recibidas por el </w:t>
            </w:r>
            <w:r>
              <w:rPr>
                <w:rStyle w:val="StyleHeader2-SubClausesItalicChar"/>
                <w:rFonts w:cs="Times New Roman"/>
                <w:i w:val="0"/>
                <w:sz w:val="22"/>
                <w:szCs w:val="22"/>
                <w:lang w:val="es-ES"/>
              </w:rPr>
              <w:t>Comprador</w:t>
            </w:r>
            <w:r>
              <w:rPr>
                <w:rFonts w:cs="Times New Roman"/>
                <w:sz w:val="22"/>
                <w:szCs w:val="22"/>
                <w:lang w:val="es-ES"/>
              </w:rPr>
              <w:t xml:space="preserve"> una vez vencido dicho plazo, serán declaradas tardías, rechazadas y devueltas sin abrir a los Oferente respectivos.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254" w:name="_Toc455487617"/>
            <w:bookmarkStart w:id="255" w:name="_Toc26891440"/>
            <w:bookmarkStart w:id="256" w:name="_Toc175256900"/>
            <w:r>
              <w:rPr>
                <w:rFonts w:ascii="Times New Roman" w:hAnsi="Times New Roman"/>
              </w:rPr>
              <w:t>Retiro, Sustitución y Modificación de las Ofertas</w:t>
            </w:r>
            <w:bookmarkEnd w:id="254"/>
            <w:bookmarkEnd w:id="255"/>
            <w:bookmarkEnd w:id="256"/>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Un Oferente puede retirar, sustituir o modificar la Oferta que ha presentado mediante el envío de una comunicación por escrito, debidamente firmada por un representante autorizado; deberá incluir una copia de la autorización, de acuerdo con lo estipulado en la IAO 21.3 (con excepción de la comunicación de retiro, que no requiere copias). La Oferta sustitutiva o la modificación deberán adjuntarse a la respectiva comunicación por escrito. Todas las comunicaciones deben:</w:t>
            </w:r>
          </w:p>
          <w:p>
            <w:pPr>
              <w:pStyle w:val="P3Header1-Clauses"/>
              <w:numPr>
                <w:ilvl w:val="0"/>
                <w:numId w:val="174"/>
              </w:numPr>
              <w:ind w:left="916"/>
              <w:rPr>
                <w:sz w:val="22"/>
                <w:szCs w:val="22"/>
                <w:lang w:val="es-ES"/>
              </w:rPr>
            </w:pPr>
            <w:r>
              <w:rPr>
                <w:spacing w:val="-4"/>
                <w:sz w:val="22"/>
                <w:szCs w:val="22"/>
                <w:lang w:val="es-ES"/>
              </w:rPr>
              <w:t xml:space="preserve">prepararse y presentarse de conformidad con las IAO 21 y 21 </w:t>
            </w:r>
            <w:r>
              <w:rPr>
                <w:bCs/>
                <w:spacing w:val="-4"/>
                <w:sz w:val="22"/>
                <w:szCs w:val="22"/>
                <w:lang w:val="es-ES"/>
              </w:rPr>
              <w:t xml:space="preserve">(con excepción de la comunicación de retiro, que no requiere copias) y, además, los respectivos sobres deberán llevar claramente indicado </w:t>
            </w:r>
            <w:r>
              <w:rPr>
                <w:spacing w:val="-4"/>
                <w:sz w:val="22"/>
                <w:szCs w:val="22"/>
                <w:lang w:val="es-ES"/>
              </w:rPr>
              <w:t>“</w:t>
            </w:r>
            <w:r>
              <w:rPr>
                <w:smallCaps/>
                <w:spacing w:val="-4"/>
                <w:sz w:val="22"/>
                <w:szCs w:val="22"/>
                <w:lang w:val="es-ES"/>
              </w:rPr>
              <w:t>Retiro</w:t>
            </w:r>
            <w:r>
              <w:rPr>
                <w:spacing w:val="-4"/>
                <w:sz w:val="22"/>
                <w:szCs w:val="22"/>
                <w:lang w:val="es-ES"/>
              </w:rPr>
              <w:t>”, “</w:t>
            </w:r>
            <w:r>
              <w:rPr>
                <w:smallCaps/>
                <w:spacing w:val="-4"/>
                <w:sz w:val="22"/>
                <w:szCs w:val="22"/>
                <w:lang w:val="es-ES"/>
              </w:rPr>
              <w:t>Sustitución</w:t>
            </w:r>
            <w:r>
              <w:rPr>
                <w:spacing w:val="-4"/>
                <w:sz w:val="22"/>
                <w:szCs w:val="22"/>
                <w:lang w:val="es-ES"/>
              </w:rPr>
              <w:t>” o “</w:t>
            </w:r>
            <w:r>
              <w:rPr>
                <w:smallCaps/>
                <w:spacing w:val="-4"/>
                <w:sz w:val="22"/>
                <w:szCs w:val="22"/>
                <w:lang w:val="es-ES"/>
              </w:rPr>
              <w:t>Modificación</w:t>
            </w:r>
            <w:r>
              <w:rPr>
                <w:spacing w:val="-4"/>
                <w:sz w:val="22"/>
                <w:szCs w:val="22"/>
                <w:lang w:val="es-ES"/>
              </w:rPr>
              <w:t>”, y,</w:t>
            </w:r>
          </w:p>
          <w:p>
            <w:pPr>
              <w:pStyle w:val="P3Header1-Clauses"/>
              <w:numPr>
                <w:ilvl w:val="0"/>
                <w:numId w:val="174"/>
              </w:numPr>
              <w:ind w:left="916"/>
              <w:rPr>
                <w:spacing w:val="-4"/>
                <w:sz w:val="22"/>
                <w:szCs w:val="22"/>
                <w:lang w:val="es-ES"/>
              </w:rPr>
            </w:pPr>
            <w:r>
              <w:rPr>
                <w:bCs/>
                <w:spacing w:val="-4"/>
                <w:sz w:val="22"/>
                <w:szCs w:val="22"/>
                <w:lang w:val="es-ES"/>
              </w:rPr>
              <w:lastRenderedPageBreak/>
              <w:t xml:space="preserve">ser recibidas por el Comprador antes de la fecha límite establecida para la presentación de las Ofertas, según lo dispuesto en la </w:t>
            </w:r>
            <w:r>
              <w:rPr>
                <w:sz w:val="22"/>
                <w:szCs w:val="22"/>
                <w:lang w:val="es-ES"/>
              </w:rPr>
              <w:t>IAO 23.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Las Ofertas cuyo retiro se haya solicitado de conformidad con la IAO 25.1 se devolverán sin abrir a los Oferentes.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257" w:name="_Toc455487618"/>
            <w:bookmarkStart w:id="258" w:name="_Toc26891441"/>
            <w:bookmarkStart w:id="259" w:name="_Toc175256901"/>
            <w:r>
              <w:rPr>
                <w:rFonts w:ascii="Times New Roman" w:hAnsi="Times New Roman"/>
              </w:rPr>
              <w:t>Apertura de las Ofertas</w:t>
            </w:r>
            <w:bookmarkEnd w:id="257"/>
            <w:bookmarkEnd w:id="258"/>
            <w:bookmarkEnd w:id="259"/>
          </w:p>
        </w:tc>
        <w:tc>
          <w:tcPr>
            <w:tcW w:w="7053" w:type="dxa"/>
            <w:tcBorders>
              <w:top w:val="nil"/>
              <w:left w:val="nil"/>
              <w:bottom w:val="nil"/>
              <w:right w:val="nil"/>
            </w:tcBorders>
          </w:tcPr>
          <w:p>
            <w:pPr>
              <w:pStyle w:val="Sub-ClauseText"/>
              <w:numPr>
                <w:ilvl w:val="1"/>
                <w:numId w:val="73"/>
              </w:numPr>
              <w:overflowPunct/>
              <w:autoSpaceDE/>
              <w:autoSpaceDN/>
              <w:adjustRightInd/>
              <w:spacing w:before="0" w:after="200"/>
              <w:ind w:left="605" w:hanging="605"/>
              <w:textAlignment w:val="auto"/>
              <w:rPr>
                <w:spacing w:val="0"/>
                <w:sz w:val="22"/>
                <w:szCs w:val="22"/>
                <w:lang w:val="es-ES"/>
              </w:rPr>
            </w:pPr>
            <w:r>
              <w:rPr>
                <w:spacing w:val="0"/>
                <w:sz w:val="22"/>
                <w:szCs w:val="22"/>
                <w:lang w:val="es-ES"/>
              </w:rPr>
              <w:t xml:space="preserve">Salvo en los casos especificados en las IAO 24 y 25.2, el Comprador, en el acto de apertura de las Ofertas, abrirá públicamente y leerá en voz alta todas las Ofertas recibidas antes del vencimiento del plazo indicado, en la fecha, a la hora y en el lugar especificados </w:t>
            </w:r>
            <w:r>
              <w:rPr>
                <w:b/>
                <w:bCs/>
                <w:spacing w:val="0"/>
                <w:sz w:val="22"/>
                <w:szCs w:val="22"/>
                <w:lang w:val="es-ES"/>
              </w:rPr>
              <w:t>en los DDL</w:t>
            </w:r>
            <w:r>
              <w:rPr>
                <w:bCs/>
                <w:spacing w:val="0"/>
                <w:sz w:val="22"/>
                <w:szCs w:val="22"/>
                <w:lang w:val="es-ES"/>
              </w:rPr>
              <w:t>,</w:t>
            </w:r>
            <w:r>
              <w:rPr>
                <w:spacing w:val="0"/>
                <w:sz w:val="22"/>
                <w:szCs w:val="22"/>
                <w:lang w:val="es-ES"/>
              </w:rPr>
              <w:t xml:space="preserve"> en presencia de los representantes designados por los Oferentes y de cualquier persona que desee asistir. Los procedimientos específicos para la apertura de Ofertas presentadas en forma electrónica, si estuvieran permitidas en virtud de la IAO 23.1, se realizarán conforme a lo dispuesto </w:t>
            </w:r>
            <w:r>
              <w:rPr>
                <w:b/>
                <w:bCs/>
                <w:spacing w:val="0"/>
                <w:sz w:val="22"/>
                <w:szCs w:val="22"/>
                <w:lang w:val="es-ES"/>
              </w:rPr>
              <w:t>en los DDL</w:t>
            </w:r>
            <w:r>
              <w:rPr>
                <w:spacing w:val="0"/>
                <w:sz w:val="22"/>
                <w:szCs w:val="22"/>
                <w:lang w:val="es-ES"/>
              </w:rPr>
              <w:t>.</w:t>
            </w:r>
          </w:p>
          <w:p>
            <w:pPr>
              <w:pStyle w:val="Sub-ClauseText"/>
              <w:numPr>
                <w:ilvl w:val="1"/>
                <w:numId w:val="73"/>
              </w:numPr>
              <w:overflowPunct/>
              <w:autoSpaceDE/>
              <w:autoSpaceDN/>
              <w:adjustRightInd/>
              <w:spacing w:before="0" w:after="200"/>
              <w:ind w:left="637" w:hanging="637"/>
              <w:textAlignment w:val="auto"/>
              <w:rPr>
                <w:spacing w:val="0"/>
                <w:sz w:val="22"/>
                <w:szCs w:val="22"/>
                <w:lang w:val="es-ES"/>
              </w:rPr>
            </w:pPr>
            <w:r>
              <w:rPr>
                <w:spacing w:val="0"/>
                <w:sz w:val="22"/>
                <w:szCs w:val="22"/>
                <w:lang w:val="es-ES"/>
              </w:rPr>
              <w:t>Primero se abrirán y leerán en voz alta los sobres marcados “</w:t>
            </w:r>
            <w:r>
              <w:rPr>
                <w:smallCaps/>
                <w:spacing w:val="0"/>
                <w:sz w:val="22"/>
                <w:szCs w:val="22"/>
                <w:lang w:val="es-ES"/>
              </w:rPr>
              <w:t>Retiro</w:t>
            </w:r>
            <w:r>
              <w:rPr>
                <w:spacing w:val="0"/>
                <w:sz w:val="22"/>
                <w:szCs w:val="22"/>
                <w:lang w:val="es-ES"/>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permitirá el retiro de ninguna Oferta a menos que la respectiva comunicación de retiro contenga la autorización válida para solicitarlo y se lea en voz alta en el acto de apertura de las Ofertas. </w:t>
            </w:r>
          </w:p>
          <w:p>
            <w:pPr>
              <w:pStyle w:val="Sub-ClauseText"/>
              <w:numPr>
                <w:ilvl w:val="1"/>
                <w:numId w:val="73"/>
              </w:numPr>
              <w:overflowPunct/>
              <w:autoSpaceDE/>
              <w:autoSpaceDN/>
              <w:adjustRightInd/>
              <w:spacing w:before="0" w:after="200"/>
              <w:ind w:left="637" w:hanging="637"/>
              <w:textAlignment w:val="auto"/>
              <w:rPr>
                <w:spacing w:val="0"/>
                <w:sz w:val="22"/>
                <w:szCs w:val="22"/>
                <w:lang w:val="es-ES"/>
              </w:rPr>
            </w:pPr>
            <w:r>
              <w:rPr>
                <w:spacing w:val="0"/>
                <w:sz w:val="22"/>
                <w:szCs w:val="22"/>
                <w:lang w:val="es-ES"/>
              </w:rPr>
              <w:t>Seguidamente se abrirán los sobres marcados como “</w:t>
            </w:r>
            <w:r>
              <w:rPr>
                <w:smallCaps/>
                <w:spacing w:val="0"/>
                <w:sz w:val="22"/>
                <w:szCs w:val="22"/>
                <w:lang w:val="es-ES"/>
              </w:rPr>
              <w:t>Sustitución</w:t>
            </w:r>
            <w:r>
              <w:rPr>
                <w:spacing w:val="0"/>
                <w:sz w:val="22"/>
                <w:szCs w:val="22"/>
                <w:lang w:val="es-ES"/>
              </w:rPr>
              <w:t>”,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pPr>
              <w:pStyle w:val="Sub-ClauseText"/>
              <w:numPr>
                <w:ilvl w:val="1"/>
                <w:numId w:val="73"/>
              </w:numPr>
              <w:overflowPunct/>
              <w:autoSpaceDE/>
              <w:autoSpaceDN/>
              <w:adjustRightInd/>
              <w:spacing w:before="0" w:after="200"/>
              <w:ind w:left="637" w:hanging="637"/>
              <w:textAlignment w:val="auto"/>
              <w:rPr>
                <w:spacing w:val="0"/>
                <w:sz w:val="22"/>
                <w:szCs w:val="22"/>
                <w:lang w:val="es-ES"/>
              </w:rPr>
            </w:pPr>
            <w:r>
              <w:rPr>
                <w:spacing w:val="0"/>
                <w:sz w:val="22"/>
                <w:szCs w:val="22"/>
                <w:lang w:val="es-ES"/>
              </w:rPr>
              <w:t>A continuación, se abrirán y se leerán en voz alta los sobres marcados con el rótulo “</w:t>
            </w:r>
            <w:r>
              <w:rPr>
                <w:smallCaps/>
                <w:spacing w:val="0"/>
                <w:sz w:val="22"/>
                <w:szCs w:val="22"/>
                <w:lang w:val="es-ES"/>
              </w:rPr>
              <w:t>Modificación</w:t>
            </w:r>
            <w:r>
              <w:rPr>
                <w:spacing w:val="0"/>
                <w:sz w:val="22"/>
                <w:szCs w:val="22"/>
                <w:lang w:val="es-ES"/>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pPr>
              <w:pStyle w:val="Sub-ClauseText"/>
              <w:numPr>
                <w:ilvl w:val="1"/>
                <w:numId w:val="73"/>
              </w:numPr>
              <w:overflowPunct/>
              <w:autoSpaceDE/>
              <w:autoSpaceDN/>
              <w:adjustRightInd/>
              <w:spacing w:before="0" w:after="200"/>
              <w:ind w:left="637" w:hanging="637"/>
              <w:textAlignment w:val="auto"/>
              <w:rPr>
                <w:spacing w:val="0"/>
                <w:sz w:val="22"/>
                <w:szCs w:val="22"/>
                <w:lang w:val="es-ES"/>
              </w:rPr>
            </w:pPr>
            <w:r>
              <w:rPr>
                <w:spacing w:val="0"/>
                <w:sz w:val="22"/>
                <w:szCs w:val="22"/>
                <w:lang w:val="es-ES"/>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pPr>
              <w:pStyle w:val="Sub-ClauseText"/>
              <w:numPr>
                <w:ilvl w:val="1"/>
                <w:numId w:val="73"/>
              </w:numPr>
              <w:overflowPunct/>
              <w:autoSpaceDE/>
              <w:autoSpaceDN/>
              <w:adjustRightInd/>
              <w:spacing w:before="0" w:after="200"/>
              <w:ind w:left="637" w:hanging="637"/>
              <w:textAlignment w:val="auto"/>
              <w:rPr>
                <w:spacing w:val="0"/>
                <w:sz w:val="22"/>
                <w:szCs w:val="22"/>
                <w:lang w:val="es-ES"/>
              </w:rPr>
            </w:pPr>
            <w:r>
              <w:rPr>
                <w:color w:val="000000" w:themeColor="text1"/>
                <w:spacing w:val="0"/>
                <w:sz w:val="22"/>
                <w:szCs w:val="22"/>
                <w:lang w:val="es-ES"/>
              </w:rPr>
              <w:t>En la evaluación solo se considerarán las Ofertas, las Ofertas Alternativas y los descuentos abiertos y leídos en voz alta.</w:t>
            </w:r>
            <w:r>
              <w:rPr>
                <w:spacing w:val="0"/>
                <w:sz w:val="22"/>
                <w:szCs w:val="22"/>
                <w:lang w:val="es-ES"/>
              </w:rPr>
              <w:t xml:space="preserve"> La Carta de </w:t>
            </w:r>
            <w:r>
              <w:rPr>
                <w:spacing w:val="0"/>
                <w:sz w:val="22"/>
                <w:szCs w:val="22"/>
                <w:lang w:val="es-ES"/>
              </w:rPr>
              <w:lastRenderedPageBreak/>
              <w:t xml:space="preserve">la Oferta y las Listas de Precios deberán ser inicialados por los representantes del Comprador que asistan al acto de apertura de Ofertas, tal como se especifica </w:t>
            </w:r>
            <w:r>
              <w:rPr>
                <w:b/>
                <w:bCs/>
                <w:spacing w:val="0"/>
                <w:sz w:val="22"/>
                <w:szCs w:val="22"/>
                <w:lang w:val="es-ES"/>
              </w:rPr>
              <w:t>en los DDL</w:t>
            </w:r>
            <w:r>
              <w:rPr>
                <w:spacing w:val="0"/>
                <w:sz w:val="22"/>
                <w:szCs w:val="22"/>
                <w:lang w:val="es-ES"/>
              </w:rPr>
              <w:t>.</w:t>
            </w:r>
          </w:p>
          <w:p>
            <w:pPr>
              <w:pStyle w:val="Sub-ClauseText"/>
              <w:numPr>
                <w:ilvl w:val="1"/>
                <w:numId w:val="73"/>
              </w:numPr>
              <w:overflowPunct/>
              <w:autoSpaceDE/>
              <w:autoSpaceDN/>
              <w:adjustRightInd/>
              <w:spacing w:before="0" w:after="200"/>
              <w:ind w:left="637" w:hanging="637"/>
              <w:textAlignment w:val="auto"/>
              <w:rPr>
                <w:spacing w:val="0"/>
                <w:sz w:val="22"/>
                <w:szCs w:val="22"/>
                <w:lang w:val="es-ES"/>
              </w:rPr>
            </w:pPr>
            <w:r>
              <w:rPr>
                <w:spacing w:val="0"/>
                <w:sz w:val="22"/>
                <w:szCs w:val="22"/>
                <w:lang w:val="es-ES"/>
              </w:rPr>
              <w:t>El Comprador no discutirá los méritos de las Ofertas ni rechazará ninguna (excepto las Ofertas tardías, según lo dispuesto en la IAO 24.1).</w:t>
            </w:r>
          </w:p>
          <w:p>
            <w:pPr>
              <w:pStyle w:val="Sub-ClauseText"/>
              <w:numPr>
                <w:ilvl w:val="1"/>
                <w:numId w:val="73"/>
              </w:numPr>
              <w:overflowPunct/>
              <w:autoSpaceDE/>
              <w:autoSpaceDN/>
              <w:adjustRightInd/>
              <w:spacing w:before="0" w:after="200"/>
              <w:ind w:left="637" w:hanging="637"/>
              <w:textAlignment w:val="auto"/>
              <w:rPr>
                <w:spacing w:val="0"/>
                <w:sz w:val="22"/>
                <w:szCs w:val="22"/>
                <w:lang w:val="es-ES"/>
              </w:rPr>
            </w:pPr>
            <w:r>
              <w:rPr>
                <w:spacing w:val="0"/>
                <w:sz w:val="22"/>
                <w:szCs w:val="22"/>
                <w:lang w:val="es-ES"/>
              </w:rPr>
              <w:t xml:space="preserve">El Comprador preparará un acta del acto de apertura de las Ofertas que incluirá como mínimo: </w:t>
            </w:r>
          </w:p>
          <w:p>
            <w:pPr>
              <w:pStyle w:val="Sub-ClauseText"/>
              <w:numPr>
                <w:ilvl w:val="0"/>
                <w:numId w:val="74"/>
              </w:numPr>
              <w:overflowPunct/>
              <w:autoSpaceDE/>
              <w:autoSpaceDN/>
              <w:adjustRightInd/>
              <w:spacing w:before="0" w:after="200"/>
              <w:ind w:left="1156" w:hanging="544"/>
              <w:textAlignment w:val="auto"/>
              <w:rPr>
                <w:spacing w:val="0"/>
                <w:sz w:val="22"/>
                <w:szCs w:val="22"/>
                <w:lang w:val="es-ES"/>
              </w:rPr>
            </w:pPr>
            <w:r>
              <w:rPr>
                <w:spacing w:val="0"/>
                <w:sz w:val="22"/>
                <w:szCs w:val="22"/>
                <w:lang w:val="es-ES"/>
              </w:rPr>
              <w:t xml:space="preserve">el nombre del Oferente y si hubo retiro, sustitución o modificación; </w:t>
            </w:r>
          </w:p>
          <w:p>
            <w:pPr>
              <w:pStyle w:val="Sub-ClauseText"/>
              <w:numPr>
                <w:ilvl w:val="0"/>
                <w:numId w:val="74"/>
              </w:numPr>
              <w:overflowPunct/>
              <w:autoSpaceDE/>
              <w:autoSpaceDN/>
              <w:adjustRightInd/>
              <w:spacing w:before="0" w:after="200"/>
              <w:ind w:left="1156" w:hanging="544"/>
              <w:textAlignment w:val="auto"/>
              <w:rPr>
                <w:spacing w:val="0"/>
                <w:sz w:val="22"/>
                <w:szCs w:val="22"/>
                <w:lang w:val="es-ES"/>
              </w:rPr>
            </w:pPr>
            <w:r>
              <w:rPr>
                <w:spacing w:val="0"/>
                <w:sz w:val="22"/>
                <w:szCs w:val="22"/>
                <w:lang w:val="es-ES"/>
              </w:rPr>
              <w:t xml:space="preserve">el precio de la Oferta, por lote (contrato) si corresponde, incluyendo cualquier descuento; </w:t>
            </w:r>
          </w:p>
          <w:p>
            <w:pPr>
              <w:pStyle w:val="Sub-ClauseText"/>
              <w:numPr>
                <w:ilvl w:val="0"/>
                <w:numId w:val="74"/>
              </w:numPr>
              <w:overflowPunct/>
              <w:autoSpaceDE/>
              <w:autoSpaceDN/>
              <w:adjustRightInd/>
              <w:spacing w:before="0" w:after="200"/>
              <w:ind w:left="1156" w:hanging="544"/>
              <w:textAlignment w:val="auto"/>
              <w:rPr>
                <w:spacing w:val="0"/>
                <w:sz w:val="22"/>
                <w:szCs w:val="22"/>
                <w:lang w:val="es-ES"/>
              </w:rPr>
            </w:pPr>
            <w:r>
              <w:rPr>
                <w:spacing w:val="0"/>
                <w:sz w:val="22"/>
                <w:szCs w:val="22"/>
                <w:lang w:val="es-ES"/>
              </w:rPr>
              <w:t xml:space="preserve">cualquier Oferta Alternativa; </w:t>
            </w:r>
          </w:p>
          <w:p>
            <w:pPr>
              <w:pStyle w:val="Sub-ClauseText"/>
              <w:numPr>
                <w:ilvl w:val="0"/>
                <w:numId w:val="74"/>
              </w:numPr>
              <w:overflowPunct/>
              <w:autoSpaceDE/>
              <w:autoSpaceDN/>
              <w:adjustRightInd/>
              <w:spacing w:before="0" w:after="200"/>
              <w:ind w:left="1156" w:hanging="544"/>
              <w:textAlignment w:val="auto"/>
              <w:rPr>
                <w:spacing w:val="0"/>
                <w:sz w:val="22"/>
                <w:szCs w:val="22"/>
                <w:lang w:val="es-ES"/>
              </w:rPr>
            </w:pPr>
            <w:r>
              <w:rPr>
                <w:spacing w:val="0"/>
                <w:sz w:val="22"/>
                <w:szCs w:val="22"/>
                <w:lang w:val="es-ES"/>
              </w:rPr>
              <w:t xml:space="preserve">la existencia o no de Garantía de Mantenimiento de Oferta o de la Declaración de Mantenimiento de Oferta, de haberse requerido. </w:t>
            </w:r>
          </w:p>
          <w:p>
            <w:pPr>
              <w:pStyle w:val="Sub-ClauseText"/>
              <w:numPr>
                <w:ilvl w:val="1"/>
                <w:numId w:val="73"/>
              </w:numPr>
              <w:overflowPunct/>
              <w:autoSpaceDE/>
              <w:autoSpaceDN/>
              <w:adjustRightInd/>
              <w:spacing w:before="0" w:after="200"/>
              <w:ind w:left="637" w:hanging="637"/>
              <w:textAlignment w:val="auto"/>
              <w:rPr>
                <w:sz w:val="22"/>
                <w:szCs w:val="22"/>
                <w:lang w:val="es-ES"/>
              </w:rPr>
            </w:pPr>
            <w:r>
              <w:rPr>
                <w:spacing w:val="0"/>
                <w:sz w:val="22"/>
                <w:szCs w:val="22"/>
                <w:lang w:val="es-ES"/>
              </w:rPr>
              <w:t>Se solicitará a los representantes de los Oferentes presentes que firmen el acta. La omisión de la firma de uno de los Oferentes en el acta no invalidará el contenido ni los efectos de esta. Se entregará una copia del acta a todos los Oferentes.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pPr>
              <w:pStyle w:val="Subsecciones"/>
              <w:rPr>
                <w:rFonts w:ascii="Times New Roman" w:hAnsi="Times New Roman"/>
              </w:rPr>
            </w:pPr>
            <w:bookmarkStart w:id="260" w:name="_Toc438438850"/>
            <w:bookmarkStart w:id="261" w:name="_Toc438532629"/>
            <w:bookmarkStart w:id="262" w:name="_Toc438733994"/>
            <w:bookmarkStart w:id="263" w:name="_Toc438962076"/>
            <w:bookmarkStart w:id="264" w:name="_Toc461939620"/>
            <w:bookmarkStart w:id="265" w:name="_Toc97371030"/>
            <w:bookmarkStart w:id="266" w:name="_Toc325723945"/>
            <w:bookmarkStart w:id="267" w:name="_Toc440526038"/>
            <w:bookmarkStart w:id="268" w:name="_Toc435624839"/>
            <w:bookmarkStart w:id="269" w:name="_Toc26891442"/>
            <w:bookmarkStart w:id="270" w:name="_Toc175256902"/>
            <w:r>
              <w:rPr>
                <w:rFonts w:ascii="Times New Roman" w:hAnsi="Times New Roman"/>
              </w:rPr>
              <w:lastRenderedPageBreak/>
              <w:t xml:space="preserve">Evaluación </w:t>
            </w:r>
            <w:bookmarkEnd w:id="260"/>
            <w:bookmarkEnd w:id="261"/>
            <w:bookmarkEnd w:id="262"/>
            <w:bookmarkEnd w:id="263"/>
            <w:bookmarkEnd w:id="264"/>
            <w:bookmarkEnd w:id="265"/>
            <w:bookmarkEnd w:id="266"/>
            <w:bookmarkEnd w:id="267"/>
            <w:bookmarkEnd w:id="268"/>
            <w:r>
              <w:rPr>
                <w:rFonts w:ascii="Times New Roman" w:hAnsi="Times New Roman"/>
              </w:rPr>
              <w:t>y Comparación de las Ofertas</w:t>
            </w:r>
            <w:bookmarkEnd w:id="269"/>
            <w:bookmarkEnd w:id="270"/>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271" w:name="_Toc438438851"/>
            <w:bookmarkStart w:id="272" w:name="_Toc438532630"/>
            <w:bookmarkStart w:id="273" w:name="_Toc438733995"/>
            <w:bookmarkStart w:id="274" w:name="_Toc438907032"/>
            <w:bookmarkStart w:id="275" w:name="_Toc438907231"/>
            <w:bookmarkStart w:id="276" w:name="_Toc97371031"/>
            <w:bookmarkStart w:id="277" w:name="_Toc139863128"/>
            <w:bookmarkStart w:id="278" w:name="_Toc325723946"/>
            <w:bookmarkStart w:id="279" w:name="_Toc440526039"/>
            <w:bookmarkStart w:id="280" w:name="_Toc435624840"/>
            <w:bookmarkStart w:id="281" w:name="_Toc455487619"/>
            <w:bookmarkStart w:id="282" w:name="_Toc26891443"/>
            <w:bookmarkStart w:id="283" w:name="_Toc175256903"/>
            <w:r>
              <w:rPr>
                <w:rFonts w:ascii="Times New Roman" w:hAnsi="Times New Roman"/>
              </w:rPr>
              <w:t>Confidencialidad</w:t>
            </w:r>
            <w:bookmarkEnd w:id="271"/>
            <w:bookmarkEnd w:id="272"/>
            <w:bookmarkEnd w:id="273"/>
            <w:bookmarkEnd w:id="274"/>
            <w:bookmarkEnd w:id="275"/>
            <w:bookmarkEnd w:id="276"/>
            <w:bookmarkEnd w:id="277"/>
            <w:bookmarkEnd w:id="278"/>
            <w:bookmarkEnd w:id="279"/>
            <w:bookmarkEnd w:id="280"/>
            <w:bookmarkEnd w:id="281"/>
            <w:bookmarkEnd w:id="282"/>
            <w:bookmarkEnd w:id="283"/>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No se divulgará a los Oferentes ni a ninguna persona que no participe oficialmente en el proceso licitatorio información relacionada con la evaluación de las Ofertas o con la recomendación de adjudicación del Contrato hasta que la información sobre la Notificación de la Adjudicación del Contrato se haya comunicado a todos los Oferentes, con arreglo a la IAO 41.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Cualquier intento por parte de un Oferente de influenciar al Comprador en la evaluación de las Ofertas o en las decisiones vinculadas a la adjudicación del Contrato puede motivar el rechazo de su Oferta.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No obstante, lo dispuesto en la IAO 27.2, si, durante el plazo transcurrido entre el acto de apertura de las Ofertas y la fecha de adjudicación del Contrato, un Oferente desea comunicarse con el Comprador sobre cualquier asunto relacionado con el proceso de licitación deberá hacerlo por escrito.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284" w:name="_Toc424009129"/>
            <w:bookmarkStart w:id="285" w:name="_Toc438438852"/>
            <w:bookmarkStart w:id="286" w:name="_Toc438532631"/>
            <w:bookmarkStart w:id="287" w:name="_Toc438733996"/>
            <w:bookmarkStart w:id="288" w:name="_Toc438907033"/>
            <w:bookmarkStart w:id="289" w:name="_Toc438907232"/>
            <w:bookmarkStart w:id="290" w:name="_Toc97371032"/>
            <w:bookmarkStart w:id="291" w:name="_Toc139863129"/>
            <w:bookmarkStart w:id="292" w:name="_Toc325723947"/>
            <w:bookmarkStart w:id="293" w:name="_Toc440526040"/>
            <w:bookmarkStart w:id="294" w:name="_Toc435624841"/>
            <w:bookmarkStart w:id="295" w:name="_Toc455487620"/>
            <w:bookmarkStart w:id="296" w:name="_Toc26891444"/>
            <w:bookmarkStart w:id="297" w:name="_Toc175256904"/>
            <w:r>
              <w:rPr>
                <w:rFonts w:ascii="Times New Roman" w:hAnsi="Times New Roman"/>
              </w:rPr>
              <w:t>Aclaraciones sobre las Ofertas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presentada por un Oferente que no hubiera sido solicitada por el Comprador. La solicitud de aclaración del Comprador y la respuesta correspondiente deberán constar por escrito. No se solicitará, ofrecerá ni permitirá ninguna modificación, incluidos aumentos o reducciones voluntarios, de los </w:t>
            </w:r>
            <w:r>
              <w:rPr>
                <w:rFonts w:cs="Times New Roman"/>
                <w:sz w:val="22"/>
                <w:szCs w:val="22"/>
                <w:lang w:val="es-ES"/>
              </w:rPr>
              <w:lastRenderedPageBreak/>
              <w:t xml:space="preserve">precios o de la sustancia de la Oferta, salvo las que sean necesarias para confirmar la corrección de errores aritméticos que el Comprador hubiera descubierto durante la evaluación de las Ofertas, de conformidad con lo dispuesto en la IAO 32.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sz w:val="24"/>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En caso de que un Oferente no haya suministrado las aclaraciones sobre su Oferta en la fecha y a la hora establecidas en la solicitud de aclaración formulada por el Comprador, su Oferta puede ser rechazada.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298" w:name="_Toc455487621"/>
            <w:bookmarkStart w:id="299" w:name="_Toc26891445"/>
            <w:bookmarkStart w:id="300" w:name="_Toc175256905"/>
            <w:r>
              <w:rPr>
                <w:rFonts w:ascii="Times New Roman" w:hAnsi="Times New Roman"/>
              </w:rPr>
              <w:t>Desviaciones, Reservas y Omisiones</w:t>
            </w:r>
            <w:bookmarkEnd w:id="298"/>
            <w:bookmarkEnd w:id="299"/>
            <w:bookmarkEnd w:id="300"/>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Durante la evaluación de las Ofertas, se aplican las siguientes definiciones:</w:t>
            </w:r>
          </w:p>
          <w:p>
            <w:pPr>
              <w:pStyle w:val="P3Header1-Clauses"/>
              <w:numPr>
                <w:ilvl w:val="0"/>
                <w:numId w:val="175"/>
              </w:numPr>
              <w:ind w:left="1058" w:hanging="426"/>
              <w:rPr>
                <w:sz w:val="22"/>
                <w:szCs w:val="22"/>
                <w:lang w:val="es-ES"/>
              </w:rPr>
            </w:pPr>
            <w:r>
              <w:rPr>
                <w:sz w:val="22"/>
                <w:szCs w:val="22"/>
                <w:lang w:val="es-ES"/>
              </w:rPr>
              <w:t>“</w:t>
            </w:r>
            <w:r>
              <w:rPr>
                <w:i/>
                <w:sz w:val="22"/>
                <w:szCs w:val="22"/>
                <w:lang w:val="es-ES"/>
              </w:rPr>
              <w:t>desviación</w:t>
            </w:r>
            <w:r>
              <w:rPr>
                <w:sz w:val="22"/>
                <w:szCs w:val="22"/>
                <w:lang w:val="es-ES"/>
              </w:rPr>
              <w:t>” es un apartamiento respecto de los requisitos especificados en el Documento de Licitación;</w:t>
            </w:r>
          </w:p>
          <w:p>
            <w:pPr>
              <w:pStyle w:val="P3Header1-Clauses"/>
              <w:numPr>
                <w:ilvl w:val="0"/>
                <w:numId w:val="175"/>
              </w:numPr>
              <w:ind w:left="1058" w:hanging="426"/>
              <w:rPr>
                <w:sz w:val="22"/>
                <w:szCs w:val="22"/>
                <w:lang w:val="es-ES"/>
              </w:rPr>
            </w:pPr>
            <w:r>
              <w:rPr>
                <w:sz w:val="22"/>
                <w:szCs w:val="22"/>
                <w:lang w:val="es-ES"/>
              </w:rPr>
              <w:t>“</w:t>
            </w:r>
            <w:r>
              <w:rPr>
                <w:i/>
                <w:sz w:val="22"/>
                <w:szCs w:val="22"/>
                <w:lang w:val="es-ES"/>
              </w:rPr>
              <w:t>reserva</w:t>
            </w:r>
            <w:r>
              <w:rPr>
                <w:sz w:val="22"/>
                <w:szCs w:val="22"/>
                <w:lang w:val="es-ES"/>
              </w:rPr>
              <w:t>” es la imposición de condiciones limitativas o la negativa a aceptar plenamente los requisitos especificados en el Documento de Licitación, y</w:t>
            </w:r>
          </w:p>
          <w:p>
            <w:pPr>
              <w:pStyle w:val="P3Header1-Clauses"/>
              <w:numPr>
                <w:ilvl w:val="0"/>
                <w:numId w:val="175"/>
              </w:numPr>
              <w:ind w:left="1058" w:hanging="426"/>
              <w:rPr>
                <w:i/>
                <w:sz w:val="22"/>
                <w:szCs w:val="22"/>
                <w:lang w:val="es-ES"/>
              </w:rPr>
            </w:pPr>
            <w:r>
              <w:rPr>
                <w:sz w:val="22"/>
                <w:szCs w:val="22"/>
                <w:lang w:val="es-ES"/>
              </w:rPr>
              <w:t>“</w:t>
            </w:r>
            <w:r>
              <w:rPr>
                <w:i/>
                <w:sz w:val="22"/>
                <w:szCs w:val="22"/>
                <w:lang w:val="es-ES"/>
              </w:rPr>
              <w:t>omisión</w:t>
            </w:r>
            <w:r>
              <w:rPr>
                <w:sz w:val="22"/>
                <w:szCs w:val="22"/>
                <w:lang w:val="es-ES"/>
              </w:rPr>
              <w:t>” es la falta de presentación de parte o de la totalidad de la información o de la documentación requeridas en el Documento de Licitación.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41"/>
          <w:jc w:val="center"/>
        </w:trPr>
        <w:tc>
          <w:tcPr>
            <w:tcW w:w="2656" w:type="dxa"/>
            <w:tcBorders>
              <w:top w:val="nil"/>
              <w:left w:val="nil"/>
              <w:bottom w:val="nil"/>
              <w:right w:val="nil"/>
            </w:tcBorders>
          </w:tcPr>
          <w:p>
            <w:pPr>
              <w:pStyle w:val="IAOs"/>
              <w:rPr>
                <w:rFonts w:ascii="Times New Roman" w:hAnsi="Times New Roman"/>
              </w:rPr>
            </w:pPr>
            <w:bookmarkStart w:id="301" w:name="_Toc455487622"/>
            <w:bookmarkStart w:id="302" w:name="_Toc454620944"/>
            <w:bookmarkStart w:id="303" w:name="_Toc348000814"/>
            <w:bookmarkStart w:id="304" w:name="_Toc424009130"/>
            <w:bookmarkStart w:id="305" w:name="_Toc438907233"/>
            <w:bookmarkStart w:id="306" w:name="_Toc438907034"/>
            <w:bookmarkStart w:id="307" w:name="_Toc438733997"/>
            <w:bookmarkStart w:id="308" w:name="_Toc438532632"/>
            <w:bookmarkStart w:id="309" w:name="_Toc438438853"/>
            <w:bookmarkStart w:id="310" w:name="_Toc486937447"/>
            <w:bookmarkStart w:id="311" w:name="_Toc26891446"/>
            <w:bookmarkStart w:id="312" w:name="_Toc175256906"/>
            <w:r>
              <w:rPr>
                <w:rFonts w:ascii="Times New Roman" w:hAnsi="Times New Roman"/>
              </w:rPr>
              <w:t>Determinación del Cumplimiento de las Ofertas</w:t>
            </w:r>
            <w:bookmarkEnd w:id="301"/>
            <w:bookmarkEnd w:id="302"/>
            <w:bookmarkEnd w:id="303"/>
            <w:bookmarkEnd w:id="304"/>
            <w:bookmarkEnd w:id="305"/>
            <w:bookmarkEnd w:id="306"/>
            <w:bookmarkEnd w:id="307"/>
            <w:bookmarkEnd w:id="308"/>
            <w:bookmarkEnd w:id="309"/>
            <w:bookmarkEnd w:id="310"/>
            <w:bookmarkEnd w:id="311"/>
            <w:bookmarkEnd w:id="312"/>
          </w:p>
        </w:tc>
        <w:tc>
          <w:tcPr>
            <w:tcW w:w="7053" w:type="dxa"/>
            <w:tcBorders>
              <w:top w:val="nil"/>
              <w:left w:val="nil"/>
              <w:bottom w:val="nil"/>
              <w:right w:val="nil"/>
            </w:tcBorders>
          </w:tcPr>
          <w:p>
            <w:pPr>
              <w:pStyle w:val="Sub-ClauseText"/>
              <w:numPr>
                <w:ilvl w:val="1"/>
                <w:numId w:val="75"/>
              </w:numPr>
              <w:overflowPunct/>
              <w:autoSpaceDE/>
              <w:autoSpaceDN/>
              <w:adjustRightInd/>
              <w:spacing w:before="0" w:after="200"/>
              <w:textAlignment w:val="auto"/>
              <w:rPr>
                <w:spacing w:val="0"/>
                <w:sz w:val="22"/>
                <w:szCs w:val="22"/>
                <w:lang w:val="es-ES"/>
              </w:rPr>
            </w:pPr>
            <w:r>
              <w:rPr>
                <w:spacing w:val="0"/>
                <w:sz w:val="22"/>
                <w:szCs w:val="22"/>
                <w:lang w:val="es-ES"/>
              </w:rPr>
              <w:t xml:space="preserve">Para determinar si la Oferta se ajusta sustancialmente al documento de licitación, el Comprador se basará en el contenido de la propia Oferta, según se define en la IAO 12. </w:t>
            </w:r>
          </w:p>
          <w:p>
            <w:pPr>
              <w:pStyle w:val="Sub-ClauseText"/>
              <w:numPr>
                <w:ilvl w:val="1"/>
                <w:numId w:val="75"/>
              </w:numPr>
              <w:overflowPunct/>
              <w:autoSpaceDE/>
              <w:autoSpaceDN/>
              <w:adjustRightInd/>
              <w:spacing w:before="0" w:after="200"/>
              <w:textAlignment w:val="auto"/>
              <w:rPr>
                <w:spacing w:val="0"/>
                <w:sz w:val="22"/>
                <w:szCs w:val="22"/>
                <w:lang w:val="es-ES"/>
              </w:rPr>
            </w:pPr>
            <w:r>
              <w:rPr>
                <w:spacing w:val="0"/>
                <w:sz w:val="22"/>
                <w:szCs w:val="22"/>
                <w:lang w:val="es-ES"/>
              </w:rPr>
              <w:t xml:space="preserve">Una Oferta que se ajusta sustancialmente al documento de licitación es aquella que satisface todos los términos, </w:t>
            </w:r>
            <w:r>
              <w:rPr>
                <w:spacing w:val="-2"/>
                <w:sz w:val="22"/>
                <w:szCs w:val="22"/>
                <w:lang w:val="es-ES"/>
              </w:rPr>
              <w:t>condiciones y especificaciones estipuladas en dicho documento sin desviaciones, reservas u omisiones significativas. Una desviación, reserva u omisión significativa</w:t>
            </w:r>
            <w:r>
              <w:rPr>
                <w:spacing w:val="0"/>
                <w:sz w:val="22"/>
                <w:szCs w:val="22"/>
                <w:lang w:val="es-ES"/>
              </w:rPr>
              <w:t xml:space="preserve"> es aquella que:</w:t>
            </w:r>
          </w:p>
          <w:p>
            <w:pPr>
              <w:pStyle w:val="Ttulo3"/>
              <w:keepNext w:val="0"/>
              <w:numPr>
                <w:ilvl w:val="0"/>
                <w:numId w:val="77"/>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en caso de ser aceptada:</w:t>
            </w:r>
          </w:p>
          <w:p>
            <w:pPr>
              <w:pStyle w:val="Ttulo3"/>
              <w:keepNext w:val="0"/>
              <w:numPr>
                <w:ilvl w:val="3"/>
                <w:numId w:val="76"/>
              </w:numPr>
              <w:suppressAutoHyphens w:val="0"/>
              <w:spacing w:after="200"/>
              <w:ind w:left="1508" w:hanging="329"/>
              <w:jc w:val="both"/>
              <w:rPr>
                <w:rFonts w:cs="Times New Roman"/>
                <w:b w:val="0"/>
                <w:bCs w:val="0"/>
                <w:sz w:val="22"/>
                <w:szCs w:val="22"/>
                <w:lang w:val="es-ES"/>
              </w:rPr>
            </w:pPr>
            <w:r>
              <w:rPr>
                <w:rFonts w:cs="Times New Roman"/>
                <w:b w:val="0"/>
                <w:bCs w:val="0"/>
                <w:sz w:val="22"/>
                <w:szCs w:val="22"/>
                <w:lang w:val="es-ES"/>
              </w:rPr>
              <w:t>afectaría de una manera sustancial el alcance, la calidad o el funcionamiento de los Bienes y Servicios Conexos especificados en el contrato;</w:t>
            </w:r>
          </w:p>
          <w:p>
            <w:pPr>
              <w:pStyle w:val="Ttulo3"/>
              <w:keepNext w:val="0"/>
              <w:numPr>
                <w:ilvl w:val="3"/>
                <w:numId w:val="76"/>
              </w:numPr>
              <w:suppressAutoHyphens w:val="0"/>
              <w:spacing w:after="200"/>
              <w:ind w:left="1508" w:hanging="329"/>
              <w:jc w:val="both"/>
              <w:rPr>
                <w:rFonts w:cs="Times New Roman"/>
                <w:b w:val="0"/>
                <w:bCs w:val="0"/>
                <w:sz w:val="22"/>
                <w:szCs w:val="22"/>
                <w:lang w:val="es-ES"/>
              </w:rPr>
            </w:pPr>
            <w:r>
              <w:rPr>
                <w:rFonts w:cs="Times New Roman"/>
                <w:b w:val="0"/>
                <w:bCs w:val="0"/>
                <w:sz w:val="22"/>
                <w:szCs w:val="22"/>
                <w:lang w:val="es-ES"/>
              </w:rPr>
              <w:t>limitaría de modo sustancial, incongruente con el documento de licitación, los derechos del Comprador o las obligaciones del Oferente en virtud del Contrato, o</w:t>
            </w:r>
          </w:p>
          <w:p>
            <w:pPr>
              <w:pStyle w:val="Ttulo3"/>
              <w:keepNext w:val="0"/>
              <w:numPr>
                <w:ilvl w:val="3"/>
                <w:numId w:val="76"/>
              </w:numPr>
              <w:suppressAutoHyphens w:val="0"/>
              <w:spacing w:after="200"/>
              <w:ind w:left="1508" w:hanging="329"/>
              <w:jc w:val="both"/>
              <w:rPr>
                <w:rFonts w:cs="Times New Roman"/>
                <w:b w:val="0"/>
                <w:bCs w:val="0"/>
                <w:sz w:val="22"/>
                <w:szCs w:val="22"/>
                <w:lang w:val="es-ES"/>
              </w:rPr>
            </w:pPr>
            <w:r>
              <w:rPr>
                <w:rFonts w:cs="Times New Roman"/>
                <w:b w:val="0"/>
                <w:bCs w:val="0"/>
                <w:sz w:val="22"/>
                <w:szCs w:val="22"/>
                <w:lang w:val="es-ES"/>
              </w:rPr>
              <w:t>en caso de ser rectificada, afectaría injustamente la posición competitiva de otros Oferentes que presenten Ofertas que se ajusten sustancialmente a lo estipulado en el documento de licitación.</w:t>
            </w:r>
          </w:p>
          <w:p>
            <w:pPr>
              <w:pStyle w:val="Sub-ClauseText"/>
              <w:numPr>
                <w:ilvl w:val="1"/>
                <w:numId w:val="75"/>
              </w:numPr>
              <w:overflowPunct/>
              <w:autoSpaceDE/>
              <w:autoSpaceDN/>
              <w:adjustRightInd/>
              <w:spacing w:before="0" w:after="200"/>
              <w:textAlignment w:val="auto"/>
              <w:rPr>
                <w:spacing w:val="0"/>
                <w:sz w:val="22"/>
                <w:szCs w:val="22"/>
                <w:lang w:val="es-ES"/>
              </w:rPr>
            </w:pPr>
            <w:r>
              <w:rPr>
                <w:spacing w:val="0"/>
                <w:sz w:val="22"/>
                <w:szCs w:val="22"/>
                <w:lang w:val="es-ES"/>
              </w:rPr>
              <w:t xml:space="preserve">El Comprador examinará los aspectos técnicos de la Oferta presentada de acuerdo con las IAO 17 y 18, en particular, para confirmar que se hayan cumplido todos los requisitos de la Sección VI, “Requisitos de los Bienes y Servicios Conexos”, sin ninguna desviación, reserva ni omisión significativa. </w:t>
            </w:r>
          </w:p>
          <w:p>
            <w:pPr>
              <w:pStyle w:val="Header2-SubClauses"/>
              <w:ind w:left="620" w:hanging="634"/>
              <w:rPr>
                <w:rFonts w:cs="Times New Roman"/>
                <w:i/>
                <w:sz w:val="22"/>
                <w:szCs w:val="22"/>
                <w:lang w:val="es-ES"/>
              </w:rPr>
            </w:pPr>
            <w:r>
              <w:rPr>
                <w:rFonts w:cs="Times New Roman"/>
                <w:sz w:val="22"/>
                <w:szCs w:val="22"/>
                <w:lang w:val="es-ES"/>
              </w:rPr>
              <w:t xml:space="preserve">Si una Oferta no se ajusta sustancialmente al documento de licitación, será rechazada por el Comprador y el Oferente no podrá ajustarla </w:t>
            </w:r>
            <w:r>
              <w:rPr>
                <w:rFonts w:cs="Times New Roman"/>
                <w:sz w:val="22"/>
                <w:szCs w:val="22"/>
                <w:lang w:val="es-ES"/>
              </w:rPr>
              <w:lastRenderedPageBreak/>
              <w:t>posteriormente mediante la corrección de las desviaciones, reservas u omisiones significativas.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313" w:name="_Toc26891447"/>
            <w:bookmarkStart w:id="314" w:name="_Toc175256907"/>
            <w:r>
              <w:rPr>
                <w:rFonts w:ascii="Times New Roman" w:hAnsi="Times New Roman"/>
              </w:rPr>
              <w:lastRenderedPageBreak/>
              <w:t>Falta de Conformidad, Errores y Omisiones</w:t>
            </w:r>
            <w:bookmarkEnd w:id="313"/>
            <w:bookmarkEnd w:id="314"/>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Siempre y cuando una Oferta se ajuste sustancialmente al documento de licitación, el Comprador podrá dispensar cualquier falta de conformidad. </w:t>
            </w:r>
          </w:p>
          <w:p>
            <w:pPr>
              <w:pStyle w:val="Header2-SubClauses"/>
              <w:ind w:left="620" w:hanging="634"/>
              <w:rPr>
                <w:rFonts w:cs="Times New Roman"/>
                <w:sz w:val="22"/>
                <w:szCs w:val="22"/>
                <w:lang w:val="es-ES"/>
              </w:rPr>
            </w:pPr>
            <w:r>
              <w:rPr>
                <w:rFonts w:cs="Times New Roman"/>
                <w:sz w:val="22"/>
                <w:szCs w:val="22"/>
                <w:lang w:val="es-ES"/>
              </w:rPr>
              <w:t>Siempre y cuando una Oferta se ajuste sustancialmente al documento de licitación, el Comprador podrá solicitar al Oferente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Oferente no cumple con la solicitud, podrá rechazarse su Oferta.</w:t>
            </w:r>
          </w:p>
          <w:p>
            <w:pPr>
              <w:pStyle w:val="Header2-SubClauses"/>
              <w:ind w:left="620" w:hanging="634"/>
              <w:rPr>
                <w:rFonts w:cs="Times New Roman"/>
                <w:sz w:val="22"/>
                <w:szCs w:val="22"/>
                <w:lang w:val="es-ES"/>
              </w:rPr>
            </w:pPr>
            <w:r>
              <w:rPr>
                <w:rFonts w:cs="Times New Roman"/>
                <w:sz w:val="22"/>
                <w:szCs w:val="22"/>
                <w:lang w:val="es-ES"/>
              </w:rPr>
              <w:t xml:space="preserve">Siempre y cuando una Oferta se ajuste sustancialmente al documento de licitación,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Pr>
                <w:rFonts w:cs="Times New Roman"/>
                <w:b/>
                <w:bCs/>
                <w:sz w:val="22"/>
                <w:szCs w:val="22"/>
                <w:lang w:val="es-ES"/>
              </w:rPr>
              <w:t>en los DDL.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315" w:name="_Toc454620946"/>
            <w:bookmarkStart w:id="316" w:name="_Toc348000816"/>
            <w:bookmarkStart w:id="317" w:name="_Toc320179006"/>
            <w:bookmarkStart w:id="318" w:name="_Toc100032323"/>
            <w:bookmarkStart w:id="319" w:name="_Toc486937448"/>
            <w:bookmarkStart w:id="320" w:name="_Toc26891448"/>
            <w:bookmarkStart w:id="321" w:name="_Toc175256908"/>
            <w:r>
              <w:rPr>
                <w:rFonts w:ascii="Times New Roman" w:hAnsi="Times New Roman"/>
              </w:rPr>
              <w:t xml:space="preserve">Corrección de Errores </w:t>
            </w:r>
            <w:bookmarkEnd w:id="315"/>
            <w:bookmarkEnd w:id="316"/>
            <w:bookmarkEnd w:id="317"/>
            <w:bookmarkEnd w:id="318"/>
            <w:r>
              <w:rPr>
                <w:rFonts w:ascii="Times New Roman" w:hAnsi="Times New Roman"/>
              </w:rPr>
              <w:t>Aritméticos</w:t>
            </w:r>
            <w:bookmarkEnd w:id="319"/>
            <w:bookmarkEnd w:id="320"/>
            <w:bookmarkEnd w:id="321"/>
          </w:p>
        </w:tc>
        <w:tc>
          <w:tcPr>
            <w:tcW w:w="7053" w:type="dxa"/>
            <w:tcBorders>
              <w:top w:val="nil"/>
              <w:left w:val="nil"/>
              <w:bottom w:val="nil"/>
              <w:right w:val="nil"/>
            </w:tcBorders>
          </w:tcPr>
          <w:p>
            <w:pPr>
              <w:pStyle w:val="Sub-ClauseText"/>
              <w:numPr>
                <w:ilvl w:val="0"/>
                <w:numId w:val="79"/>
              </w:numPr>
              <w:overflowPunct/>
              <w:autoSpaceDE/>
              <w:autoSpaceDN/>
              <w:adjustRightInd/>
              <w:spacing w:before="0" w:after="200"/>
              <w:ind w:left="612" w:hanging="612"/>
              <w:textAlignment w:val="auto"/>
              <w:rPr>
                <w:spacing w:val="0"/>
                <w:sz w:val="22"/>
                <w:szCs w:val="22"/>
                <w:lang w:val="es-ES"/>
              </w:rPr>
            </w:pPr>
            <w:r>
              <w:rPr>
                <w:spacing w:val="0"/>
                <w:sz w:val="22"/>
                <w:szCs w:val="22"/>
                <w:lang w:val="es-ES"/>
              </w:rPr>
              <w:t>Siempre y cuando la Oferta se ajuste sustancialmente al documento de licitación, el Comprador corregirá los errores aritméticos de la siguiente manera:</w:t>
            </w:r>
          </w:p>
          <w:p>
            <w:pPr>
              <w:pStyle w:val="Ttulo3"/>
              <w:keepNext w:val="0"/>
              <w:numPr>
                <w:ilvl w:val="2"/>
                <w:numId w:val="78"/>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si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p>
          <w:p>
            <w:pPr>
              <w:pStyle w:val="Ttulo3"/>
              <w:keepNext w:val="0"/>
              <w:numPr>
                <w:ilvl w:val="2"/>
                <w:numId w:val="78"/>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si hay un error en un total que corresponde a la suma o resta de subtotales, los subtotales prevalecerán sobre el total y este último deberá ajustarse.</w:t>
            </w:r>
          </w:p>
          <w:p>
            <w:pPr>
              <w:pStyle w:val="Ttulo3"/>
              <w:keepNext w:val="0"/>
              <w:numPr>
                <w:ilvl w:val="2"/>
                <w:numId w:val="78"/>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si hay una discrepancia entre palabras y cifras, prevalecerá el monto expresado en palabras, a menos que este último corresponda a un error aritmético, en cuyo caso prevalecerán las cantidades en cifras, de conformidad con los párrafos (a) y (b) precedentes.</w:t>
            </w:r>
          </w:p>
          <w:p>
            <w:pPr>
              <w:pStyle w:val="Header2-SubClauses"/>
              <w:numPr>
                <w:ilvl w:val="1"/>
                <w:numId w:val="177"/>
              </w:numPr>
              <w:tabs>
                <w:tab w:val="clear" w:pos="2844"/>
              </w:tabs>
              <w:ind w:left="626" w:hanging="626"/>
              <w:rPr>
                <w:rFonts w:cs="Times New Roman"/>
                <w:sz w:val="22"/>
                <w:szCs w:val="22"/>
                <w:lang w:val="es-ES"/>
              </w:rPr>
            </w:pPr>
            <w:r>
              <w:rPr>
                <w:rFonts w:cs="Times New Roman"/>
                <w:sz w:val="22"/>
                <w:szCs w:val="22"/>
                <w:lang w:val="es-ES"/>
              </w:rPr>
              <w:t xml:space="preserve">Se pedirá a los Oferentes que acepten la corrección de los errores aritméticos. Si no aceptan la corrección realizada con arreglo a lo dispuesto en la IAO 32.2, su Oferta será rechazada.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322" w:name="_Toc26891450"/>
            <w:bookmarkStart w:id="323" w:name="_Toc175256909"/>
            <w:r>
              <w:rPr>
                <w:rFonts w:ascii="Times New Roman" w:hAnsi="Times New Roman"/>
              </w:rPr>
              <w:t>Margen de Preferencia</w:t>
            </w:r>
            <w:bookmarkEnd w:id="322"/>
            <w:bookmarkEnd w:id="323"/>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Salvo que se indique lo contrario </w:t>
            </w:r>
            <w:r>
              <w:rPr>
                <w:rFonts w:cs="Times New Roman"/>
                <w:b/>
                <w:bCs/>
                <w:sz w:val="22"/>
                <w:szCs w:val="22"/>
                <w:lang w:val="es-ES"/>
              </w:rPr>
              <w:t>en los DDL</w:t>
            </w:r>
            <w:r>
              <w:rPr>
                <w:rFonts w:cs="Times New Roman"/>
                <w:sz w:val="22"/>
                <w:szCs w:val="22"/>
                <w:lang w:val="es-ES"/>
              </w:rPr>
              <w:t>, no se aplicará ningún margen de preferencia.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324" w:name="_Toc454982027"/>
            <w:bookmarkStart w:id="325" w:name="_Toc455487623"/>
            <w:bookmarkStart w:id="326" w:name="_Toc26891451"/>
            <w:bookmarkStart w:id="327" w:name="_Toc175256910"/>
            <w:r>
              <w:rPr>
                <w:rFonts w:ascii="Times New Roman" w:hAnsi="Times New Roman"/>
              </w:rPr>
              <w:t xml:space="preserve">Evaluación </w:t>
            </w:r>
            <w:bookmarkEnd w:id="324"/>
            <w:bookmarkEnd w:id="325"/>
            <w:r>
              <w:rPr>
                <w:rFonts w:ascii="Times New Roman" w:hAnsi="Times New Roman"/>
              </w:rPr>
              <w:t>de las Ofertas</w:t>
            </w:r>
            <w:bookmarkEnd w:id="326"/>
            <w:bookmarkEnd w:id="327"/>
          </w:p>
        </w:tc>
        <w:tc>
          <w:tcPr>
            <w:tcW w:w="7053" w:type="dxa"/>
            <w:tcBorders>
              <w:top w:val="nil"/>
              <w:left w:val="nil"/>
              <w:bottom w:val="nil"/>
              <w:right w:val="nil"/>
            </w:tcBorders>
          </w:tcPr>
          <w:p>
            <w:pPr>
              <w:pStyle w:val="Header2-SubClauses"/>
              <w:tabs>
                <w:tab w:val="clear" w:pos="2844"/>
                <w:tab w:val="num" w:pos="2340"/>
              </w:tabs>
              <w:ind w:left="626" w:hanging="626"/>
              <w:rPr>
                <w:rFonts w:cs="Times New Roman"/>
                <w:sz w:val="22"/>
                <w:szCs w:val="22"/>
                <w:lang w:val="es-ES"/>
              </w:rPr>
            </w:pPr>
            <w:r>
              <w:rPr>
                <w:rFonts w:cs="Times New Roman"/>
                <w:sz w:val="22"/>
                <w:szCs w:val="22"/>
                <w:lang w:val="es-ES"/>
              </w:rPr>
              <w:t xml:space="preserve">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w:t>
            </w:r>
            <w:r>
              <w:rPr>
                <w:rFonts w:cs="Times New Roman"/>
                <w:sz w:val="22"/>
                <w:szCs w:val="22"/>
                <w:lang w:val="es-ES"/>
              </w:rPr>
              <w:lastRenderedPageBreak/>
              <w:t>oferta presentada por un Oferente que reúna los criterios de calificación y respecto de la cual se haya determinado que:</w:t>
            </w:r>
          </w:p>
          <w:p>
            <w:pPr>
              <w:pStyle w:val="Sub-ClauseText"/>
              <w:numPr>
                <w:ilvl w:val="0"/>
                <w:numId w:val="176"/>
              </w:numPr>
              <w:spacing w:after="200"/>
              <w:ind w:left="1058" w:hanging="426"/>
              <w:rPr>
                <w:sz w:val="22"/>
                <w:szCs w:val="22"/>
                <w:lang w:val="es-ES"/>
              </w:rPr>
            </w:pPr>
            <w:r>
              <w:rPr>
                <w:sz w:val="22"/>
                <w:szCs w:val="22"/>
                <w:lang w:val="es-ES"/>
              </w:rPr>
              <w:t>se ajusta sustancialmente al documento de licitación; y,</w:t>
            </w:r>
          </w:p>
          <w:p>
            <w:pPr>
              <w:pStyle w:val="Sub-ClauseText"/>
              <w:numPr>
                <w:ilvl w:val="0"/>
                <w:numId w:val="176"/>
              </w:numPr>
              <w:spacing w:after="200"/>
              <w:ind w:left="1058" w:hanging="426"/>
              <w:rPr>
                <w:sz w:val="22"/>
                <w:szCs w:val="22"/>
                <w:lang w:val="es-ES"/>
              </w:rPr>
            </w:pPr>
            <w:r>
              <w:rPr>
                <w:spacing w:val="0"/>
                <w:sz w:val="22"/>
                <w:szCs w:val="22"/>
                <w:lang w:val="es-ES"/>
              </w:rPr>
              <w:t xml:space="preserve">tiene el costo evaluado más bajo. </w:t>
            </w:r>
          </w:p>
          <w:p>
            <w:pPr>
              <w:pStyle w:val="Header2-SubClauses"/>
              <w:tabs>
                <w:tab w:val="clear" w:pos="2844"/>
                <w:tab w:val="num" w:pos="2340"/>
              </w:tabs>
              <w:ind w:left="626" w:hanging="626"/>
              <w:rPr>
                <w:rFonts w:cs="Times New Roman"/>
                <w:spacing w:val="-2"/>
                <w:sz w:val="22"/>
                <w:szCs w:val="22"/>
                <w:lang w:val="es-ES"/>
              </w:rPr>
            </w:pPr>
            <w:r>
              <w:rPr>
                <w:rFonts w:cs="Times New Roman"/>
                <w:spacing w:val="-2"/>
                <w:sz w:val="22"/>
                <w:szCs w:val="22"/>
                <w:lang w:val="es-ES"/>
              </w:rPr>
              <w:t>Al evaluar una Oferta, el Comprador considerará lo siguiente:</w:t>
            </w:r>
          </w:p>
          <w:p>
            <w:pPr>
              <w:pStyle w:val="Ttulo3"/>
              <w:keepNext w:val="0"/>
              <w:numPr>
                <w:ilvl w:val="2"/>
                <w:numId w:val="80"/>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 xml:space="preserve">la evaluación se hará por artículos o lotes (contratos) de la manera especificada </w:t>
            </w:r>
            <w:r>
              <w:rPr>
                <w:rFonts w:cs="Times New Roman"/>
                <w:sz w:val="22"/>
                <w:szCs w:val="22"/>
                <w:lang w:val="es-ES"/>
              </w:rPr>
              <w:t>en los DDL</w:t>
            </w:r>
            <w:r>
              <w:rPr>
                <w:rFonts w:cs="Times New Roman"/>
                <w:b w:val="0"/>
                <w:bCs w:val="0"/>
                <w:sz w:val="22"/>
                <w:szCs w:val="22"/>
                <w:lang w:val="es-ES"/>
              </w:rPr>
              <w:t>; el Precio de la Oferta se cotizará conforme a lo establecido en la IAO 15;</w:t>
            </w:r>
          </w:p>
          <w:p>
            <w:pPr>
              <w:pStyle w:val="Ttulo3"/>
              <w:keepNext w:val="0"/>
              <w:numPr>
                <w:ilvl w:val="2"/>
                <w:numId w:val="80"/>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el ajuste de precios por corrección de errores aritméticos, conforme a lo establecido en la IAO 32.1;</w:t>
            </w:r>
          </w:p>
          <w:p>
            <w:pPr>
              <w:pStyle w:val="Ttulo3"/>
              <w:keepNext w:val="0"/>
              <w:numPr>
                <w:ilvl w:val="2"/>
                <w:numId w:val="80"/>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el ajuste de precios por descuentos ofrecidos, conforme a lo establecido en la IAO 15.4;</w:t>
            </w:r>
          </w:p>
          <w:p>
            <w:pPr>
              <w:pStyle w:val="Ttulo3"/>
              <w:keepNext w:val="0"/>
              <w:numPr>
                <w:ilvl w:val="2"/>
                <w:numId w:val="80"/>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 xml:space="preserve">el ajuste de precios por falta de conformidad cuantificables, conforme a lo establecido en la IAO 31.3; </w:t>
            </w:r>
          </w:p>
          <w:p>
            <w:pPr>
              <w:pStyle w:val="Ttulo3"/>
              <w:keepNext w:val="0"/>
              <w:numPr>
                <w:ilvl w:val="2"/>
                <w:numId w:val="80"/>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los factores de evaluación adicionales especificados en la Sección III, “Criterios de Evaluación y Calificación”.</w:t>
            </w:r>
          </w:p>
          <w:p>
            <w:pPr>
              <w:pStyle w:val="Header2-SubClauses"/>
              <w:tabs>
                <w:tab w:val="clear" w:pos="2844"/>
                <w:tab w:val="num" w:pos="2469"/>
              </w:tabs>
              <w:ind w:left="626" w:hanging="567"/>
              <w:rPr>
                <w:rFonts w:cs="Times New Roman"/>
                <w:sz w:val="22"/>
                <w:szCs w:val="22"/>
                <w:lang w:val="es-ES"/>
              </w:rPr>
            </w:pPr>
            <w:r>
              <w:rPr>
                <w:rFonts w:cs="Times New Roman"/>
                <w:sz w:val="22"/>
                <w:szCs w:val="22"/>
                <w:lang w:val="es-ES"/>
              </w:rPr>
              <w:t>En la evaluación de las Ofertas no se tendrá en cuenta el efecto estimado de las disposiciones sobre ajuste de precios que se hayan establecido en las Condiciones Contractuales, aplicadas durante el período de ejecución de este Contrato.</w:t>
            </w:r>
          </w:p>
          <w:p>
            <w:pPr>
              <w:pStyle w:val="Header2-SubClauses"/>
              <w:tabs>
                <w:tab w:val="clear" w:pos="2844"/>
                <w:tab w:val="num" w:pos="2469"/>
              </w:tabs>
              <w:ind w:left="626" w:hanging="567"/>
              <w:rPr>
                <w:rFonts w:cs="Times New Roman"/>
                <w:sz w:val="22"/>
                <w:szCs w:val="22"/>
                <w:lang w:val="es-ES"/>
              </w:rPr>
            </w:pPr>
            <w:r>
              <w:rPr>
                <w:rFonts w:cs="Times New Roman"/>
                <w:sz w:val="22"/>
                <w:szCs w:val="22"/>
                <w:lang w:val="es-ES"/>
              </w:rPr>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pPr>
              <w:pStyle w:val="Header2-SubClauses"/>
              <w:tabs>
                <w:tab w:val="clear" w:pos="2844"/>
                <w:tab w:val="num" w:pos="2469"/>
              </w:tabs>
              <w:ind w:left="626" w:hanging="567"/>
              <w:rPr>
                <w:rFonts w:cs="Times New Roman"/>
                <w:sz w:val="22"/>
                <w:szCs w:val="22"/>
                <w:lang w:val="es-ES"/>
              </w:rPr>
            </w:pPr>
            <w:r>
              <w:rPr>
                <w:rFonts w:cs="Times New Roman"/>
                <w:sz w:val="22"/>
                <w:szCs w:val="22"/>
                <w:lang w:val="es-ES"/>
              </w:rPr>
              <w:t>Al evaluar una Oferta, el Comprador excluirá y no tendrá en cuenta:</w:t>
            </w:r>
          </w:p>
          <w:p>
            <w:pPr>
              <w:pStyle w:val="Ttulo3"/>
              <w:keepNext w:val="0"/>
              <w:numPr>
                <w:ilvl w:val="2"/>
                <w:numId w:val="81"/>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en el caso de Bienes producidos en el País del Comprador, los impuestos sobre las ventas y otros impuestos similares pagaderos sobre los bienes si el Oferente resulta adjudicatario del Contrato;</w:t>
            </w:r>
          </w:p>
          <w:p>
            <w:pPr>
              <w:pStyle w:val="Ttulo3"/>
              <w:keepNext w:val="0"/>
              <w:numPr>
                <w:ilvl w:val="2"/>
                <w:numId w:val="81"/>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 xml:space="preserve">en el caso de Bienes no producidos en el País del Comprador, previamente importados o que se importarán, los impuestos sobre las ventas y otros impuestos similares pagaderos sobre los Bienes si el Oferente resulta adjudicatario del Contrato; </w:t>
            </w:r>
          </w:p>
          <w:p>
            <w:pPr>
              <w:pStyle w:val="Ttulo3"/>
              <w:keepNext w:val="0"/>
              <w:numPr>
                <w:ilvl w:val="2"/>
                <w:numId w:val="81"/>
              </w:numPr>
              <w:suppressAutoHyphens w:val="0"/>
              <w:spacing w:after="200"/>
              <w:ind w:left="1151" w:hanging="544"/>
              <w:jc w:val="both"/>
              <w:rPr>
                <w:rFonts w:cs="Times New Roman"/>
                <w:b w:val="0"/>
                <w:bCs w:val="0"/>
                <w:sz w:val="22"/>
                <w:szCs w:val="22"/>
                <w:lang w:val="es-ES"/>
              </w:rPr>
            </w:pPr>
            <w:r>
              <w:rPr>
                <w:rFonts w:cs="Times New Roman"/>
                <w:b w:val="0"/>
                <w:bCs w:val="0"/>
                <w:sz w:val="22"/>
                <w:szCs w:val="22"/>
                <w:lang w:val="es-ES"/>
              </w:rPr>
              <w:t>cualquier disposición relativa al ajuste de precios durante el período de ejecución del Contrato, en el caso de que figure en la Oferta.</w:t>
            </w:r>
          </w:p>
          <w:p>
            <w:pPr>
              <w:pStyle w:val="Header2-SubClauses"/>
              <w:tabs>
                <w:tab w:val="clear" w:pos="2844"/>
                <w:tab w:val="num" w:pos="2340"/>
              </w:tabs>
              <w:ind w:left="626" w:hanging="567"/>
              <w:rPr>
                <w:rFonts w:cs="Times New Roman"/>
                <w:sz w:val="22"/>
                <w:szCs w:val="22"/>
                <w:lang w:val="es-ES"/>
              </w:rPr>
            </w:pPr>
            <w:r>
              <w:rPr>
                <w:rFonts w:cs="Times New Roman"/>
                <w:sz w:val="22"/>
                <w:szCs w:val="22"/>
                <w:lang w:val="es-ES"/>
              </w:rPr>
              <w:t xml:space="preserve">La evaluación de una Oferta puede requerir que el Comprador considere otros factores, además del precio cotizado de conformidad con la IAO 15. Estos factores podrán estar relacionados con las características, el rendimiento, los términos y las condiciones de compra de los Bienes y Servicios Conexos. El efecto de los factores seleccionados, si los hubiere, se expresará en términos monetarios para </w:t>
            </w:r>
            <w:r>
              <w:rPr>
                <w:rFonts w:cs="Times New Roman"/>
                <w:sz w:val="22"/>
                <w:szCs w:val="22"/>
                <w:lang w:val="es-ES"/>
              </w:rPr>
              <w:lastRenderedPageBreak/>
              <w:t>facilitar la comparación de las Ofertas, a menos que se indique lo contrario en la Sección III, “Criterios de Evaluación y Calificación”. Se aplicarán los criterios y las metodologías especificados en la IAO 34.2 (g).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977"/>
          <w:jc w:val="center"/>
        </w:trPr>
        <w:tc>
          <w:tcPr>
            <w:tcW w:w="2656" w:type="dxa"/>
            <w:tcBorders>
              <w:top w:val="nil"/>
              <w:left w:val="nil"/>
              <w:bottom w:val="nil"/>
              <w:right w:val="nil"/>
            </w:tcBorders>
          </w:tcPr>
          <w:p>
            <w:pPr>
              <w:pStyle w:val="IAOs"/>
              <w:rPr>
                <w:rFonts w:ascii="Times New Roman" w:hAnsi="Times New Roman"/>
                <w:iCs/>
              </w:rPr>
            </w:pPr>
            <w:bookmarkStart w:id="328" w:name="_Hlt438533232"/>
            <w:bookmarkStart w:id="329" w:name="_Toc18940530"/>
            <w:bookmarkStart w:id="330" w:name="_Toc18940533"/>
            <w:bookmarkStart w:id="331" w:name="_Toc432229696"/>
            <w:bookmarkStart w:id="332" w:name="_Toc432663303"/>
            <w:bookmarkStart w:id="333" w:name="_Toc432663499"/>
            <w:bookmarkStart w:id="334" w:name="_Toc432663694"/>
            <w:bookmarkStart w:id="335" w:name="_Toc433224112"/>
            <w:bookmarkStart w:id="336" w:name="_Toc435519216"/>
            <w:bookmarkStart w:id="337" w:name="_Toc435624850"/>
            <w:bookmarkStart w:id="338" w:name="_Toc433224119"/>
            <w:bookmarkStart w:id="339" w:name="_Toc435519223"/>
            <w:bookmarkStart w:id="340" w:name="_Toc435624857"/>
            <w:bookmarkStart w:id="341" w:name="_Toc433224124"/>
            <w:bookmarkStart w:id="342" w:name="_Toc435519228"/>
            <w:bookmarkStart w:id="343" w:name="_Toc435624862"/>
            <w:bookmarkStart w:id="344" w:name="_Toc26891452"/>
            <w:bookmarkStart w:id="345" w:name="_Toc175256911"/>
            <w:bookmarkStart w:id="346" w:name="_Toc438438862"/>
            <w:bookmarkStart w:id="347" w:name="_Toc438532656"/>
            <w:bookmarkStart w:id="348" w:name="_Toc438734006"/>
            <w:bookmarkStart w:id="349" w:name="_Toc438907043"/>
            <w:bookmarkStart w:id="350" w:name="_Toc438907242"/>
            <w:bookmarkStart w:id="351" w:name="_Toc97371042"/>
            <w:bookmarkStart w:id="352" w:name="_Toc139863139"/>
            <w:bookmarkStart w:id="353" w:name="_Toc325723958"/>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Fonts w:ascii="Times New Roman" w:hAnsi="Times New Roman"/>
              </w:rPr>
              <w:lastRenderedPageBreak/>
              <w:t>Comparación de las Ofertas</w:t>
            </w:r>
            <w:bookmarkEnd w:id="344"/>
            <w:bookmarkEnd w:id="345"/>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El </w:t>
            </w:r>
            <w:r>
              <w:rPr>
                <w:rFonts w:cs="Times New Roman"/>
                <w:iCs/>
                <w:sz w:val="22"/>
                <w:szCs w:val="22"/>
                <w:lang w:val="es-ES"/>
              </w:rPr>
              <w:t>Comprador</w:t>
            </w:r>
            <w:r>
              <w:rPr>
                <w:rFonts w:cs="Times New Roman"/>
                <w:i/>
                <w:sz w:val="22"/>
                <w:szCs w:val="22"/>
                <w:lang w:val="es-ES"/>
              </w:rPr>
              <w:t xml:space="preserve"> </w:t>
            </w:r>
            <w:r>
              <w:rPr>
                <w:rFonts w:cs="Times New Roman"/>
                <w:sz w:val="22"/>
                <w:szCs w:val="22"/>
                <w:lang w:val="es-ES"/>
              </w:rPr>
              <w:t xml:space="preserve">comparará, conforme a lo establecido en la IAO 34.2, los costos evaluados de todas las Ofertas que se ajusten sustancialmente al documento de licitación, para determinar cuál es la Oferta con el costo evaluado más bajo. La comparación se hará sobre la base de precios DDP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pPr>
              <w:pStyle w:val="IAOs"/>
              <w:rPr>
                <w:rFonts w:ascii="Times New Roman" w:hAnsi="Times New Roman"/>
              </w:rPr>
            </w:pPr>
            <w:bookmarkStart w:id="354" w:name="_Toc26891453"/>
            <w:bookmarkStart w:id="355" w:name="_Toc175256912"/>
            <w:r>
              <w:rPr>
                <w:rFonts w:ascii="Times New Roman" w:hAnsi="Times New Roman"/>
              </w:rPr>
              <w:t>Ofertas Anormalmente Bajas</w:t>
            </w:r>
            <w:bookmarkEnd w:id="354"/>
            <w:bookmarkEnd w:id="355"/>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Una Oferta anormalmente baja es aquella cuyo precio, en combinación con otros elementos constitutivos de la Oferta, parece ser tan bajo que despierta serias dudas en el Comprador sobre la capacidad del Oferente para ejecutar el Contrato al precio cotizado.</w:t>
            </w:r>
          </w:p>
          <w:p>
            <w:pPr>
              <w:pStyle w:val="Header2-SubClauses"/>
              <w:ind w:left="620" w:hanging="634"/>
              <w:rPr>
                <w:rFonts w:cs="Times New Roman"/>
                <w:sz w:val="22"/>
                <w:szCs w:val="22"/>
                <w:lang w:val="es-ES"/>
              </w:rPr>
            </w:pPr>
            <w:r>
              <w:rPr>
                <w:rFonts w:cs="Times New Roman"/>
                <w:sz w:val="22"/>
                <w:szCs w:val="22"/>
                <w:lang w:val="es-ES"/>
              </w:rPr>
              <w:t xml:space="preserve">En caso de detectar lo que podría constituir una Oferta anormalmente 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 </w:t>
            </w:r>
          </w:p>
          <w:p>
            <w:pPr>
              <w:pStyle w:val="Header2-SubClauses"/>
              <w:ind w:left="620" w:hanging="634"/>
              <w:rPr>
                <w:rFonts w:cs="Times New Roman"/>
                <w:sz w:val="22"/>
                <w:szCs w:val="22"/>
                <w:lang w:val="es-ES"/>
              </w:rPr>
            </w:pPr>
            <w:r>
              <w:rPr>
                <w:rFonts w:cs="Times New Roman"/>
                <w:sz w:val="22"/>
                <w:szCs w:val="22"/>
                <w:lang w:val="es-ES"/>
              </w:rPr>
              <w:t>Tras evaluar los análisis de precios, si determina que el Oferente no ha demostrado su capacidad para ejecutar el Contrato al precio cotizado, el Comprador rechazará la Oferta.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6373"/>
          <w:jc w:val="center"/>
        </w:trPr>
        <w:tc>
          <w:tcPr>
            <w:tcW w:w="2656" w:type="dxa"/>
            <w:tcBorders>
              <w:top w:val="nil"/>
              <w:left w:val="nil"/>
              <w:bottom w:val="nil"/>
              <w:right w:val="nil"/>
            </w:tcBorders>
          </w:tcPr>
          <w:p>
            <w:pPr>
              <w:pStyle w:val="IAOs"/>
              <w:rPr>
                <w:rFonts w:ascii="Times New Roman" w:hAnsi="Times New Roman"/>
              </w:rPr>
            </w:pPr>
            <w:bookmarkStart w:id="356" w:name="_Toc438438861"/>
            <w:bookmarkStart w:id="357" w:name="_Toc438532655"/>
            <w:bookmarkStart w:id="358" w:name="_Toc438734005"/>
            <w:bookmarkStart w:id="359" w:name="_Toc438907042"/>
            <w:bookmarkStart w:id="360" w:name="_Toc438907241"/>
            <w:bookmarkStart w:id="361" w:name="_Toc106180687"/>
            <w:bookmarkStart w:id="362" w:name="_Toc317173243"/>
            <w:bookmarkStart w:id="363" w:name="_Toc403379103"/>
            <w:bookmarkStart w:id="364" w:name="_Toc26891455"/>
            <w:bookmarkStart w:id="365" w:name="_Toc175256913"/>
            <w:r>
              <w:rPr>
                <w:rFonts w:ascii="Times New Roman" w:hAnsi="Times New Roman"/>
              </w:rPr>
              <w:lastRenderedPageBreak/>
              <w:t>Calificación del Oferente</w:t>
            </w:r>
            <w:bookmarkEnd w:id="356"/>
            <w:bookmarkEnd w:id="357"/>
            <w:bookmarkEnd w:id="358"/>
            <w:bookmarkEnd w:id="359"/>
            <w:bookmarkEnd w:id="360"/>
            <w:bookmarkEnd w:id="361"/>
            <w:bookmarkEnd w:id="362"/>
            <w:bookmarkEnd w:id="363"/>
            <w:bookmarkEnd w:id="364"/>
            <w:bookmarkEnd w:id="365"/>
          </w:p>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pPr>
              <w:pStyle w:val="Header2-SubClauses"/>
              <w:ind w:left="620" w:hanging="634"/>
              <w:rPr>
                <w:rFonts w:cs="Times New Roman"/>
                <w:sz w:val="22"/>
                <w:szCs w:val="22"/>
                <w:lang w:val="es-ES"/>
              </w:rPr>
            </w:pPr>
            <w:r>
              <w:rPr>
                <w:rFonts w:cs="Times New Roman"/>
                <w:sz w:val="22"/>
                <w:szCs w:val="22"/>
                <w:lang w:val="es-ES"/>
              </w:rPr>
              <w:t>La determinación se basará en el examen de las pruebas documentales presentadas por el Oferente para respaldar sus calificaciones, de conformidad con la IAO 18.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pPr>
              <w:pStyle w:val="Header2-SubClauses"/>
              <w:ind w:left="620" w:hanging="634"/>
              <w:rPr>
                <w:rFonts w:cs="Times New Roman"/>
                <w:sz w:val="22"/>
                <w:szCs w:val="22"/>
                <w:lang w:val="es-ES"/>
              </w:rPr>
            </w:pPr>
            <w:r>
              <w:rPr>
                <w:rFonts w:cs="Times New Roman"/>
                <w:sz w:val="22"/>
                <w:szCs w:val="22"/>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pPr>
              <w:pStyle w:val="IAOs"/>
              <w:rPr>
                <w:rFonts w:ascii="Times New Roman" w:hAnsi="Times New Roman"/>
              </w:rPr>
            </w:pPr>
            <w:bookmarkStart w:id="366" w:name="_Toc455487636"/>
            <w:bookmarkStart w:id="367" w:name="_Toc26891456"/>
            <w:bookmarkStart w:id="368" w:name="_Toc175256914"/>
            <w:bookmarkEnd w:id="346"/>
            <w:bookmarkEnd w:id="347"/>
            <w:bookmarkEnd w:id="348"/>
            <w:bookmarkEnd w:id="349"/>
            <w:bookmarkEnd w:id="350"/>
            <w:bookmarkEnd w:id="351"/>
            <w:bookmarkEnd w:id="352"/>
            <w:bookmarkEnd w:id="353"/>
            <w:r>
              <w:rPr>
                <w:rFonts w:ascii="Times New Roman" w:hAnsi="Times New Roman"/>
              </w:rPr>
              <w:t>Derecho del Comprador a Aceptar Cualquier Oferta y Rechazar Alguna o Todas las Ofertas</w:t>
            </w:r>
            <w:bookmarkEnd w:id="366"/>
            <w:bookmarkEnd w:id="367"/>
            <w:bookmarkEnd w:id="368"/>
          </w:p>
        </w:tc>
        <w:tc>
          <w:tcPr>
            <w:tcW w:w="7053" w:type="dxa"/>
            <w:tcBorders>
              <w:top w:val="nil"/>
              <w:left w:val="nil"/>
              <w:bottom w:val="nil"/>
              <w:right w:val="nil"/>
            </w:tcBorders>
          </w:tcPr>
          <w:p>
            <w:pPr>
              <w:pStyle w:val="Header2-SubClauses"/>
              <w:ind w:left="620" w:hanging="634"/>
              <w:rPr>
                <w:rFonts w:cs="Times New Roman"/>
                <w:sz w:val="22"/>
                <w:szCs w:val="22"/>
                <w:lang w:val="es-ES"/>
              </w:rPr>
            </w:pPr>
            <w:r>
              <w:rPr>
                <w:rFonts w:cs="Times New Roman"/>
                <w:sz w:val="22"/>
                <w:szCs w:val="22"/>
                <w:lang w:val="es-ES"/>
              </w:rPr>
              <w:t>El Comprador se reserva el derecho de aceptar o rechazar cualquier Oferta, de anular el proceso de licitación y de rechazar todas las Ofertas en cualquier momento antes de la adjudicación del Contrato, sin que por ello adquiera responsabilidad alguna frente a los Oferentes. En caso de anularse el proceso, el Comprador devolverá prontamente a los Oferentes todas las Ofertas y, específicamente, las Garantías de Mantenimiento de la Oferta que hubiera recibido.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pPr>
              <w:pStyle w:val="Subsecciones"/>
              <w:rPr>
                <w:rFonts w:ascii="Times New Roman" w:hAnsi="Times New Roman"/>
                <w:szCs w:val="22"/>
              </w:rPr>
            </w:pPr>
            <w:bookmarkStart w:id="369" w:name="_Toc26891459"/>
            <w:bookmarkStart w:id="370" w:name="_Toc175256915"/>
            <w:r>
              <w:rPr>
                <w:rFonts w:ascii="Times New Roman" w:hAnsi="Times New Roman"/>
                <w:szCs w:val="22"/>
              </w:rPr>
              <w:t>Adjudicación del Contrato</w:t>
            </w:r>
            <w:bookmarkEnd w:id="369"/>
            <w:bookmarkEnd w:id="370"/>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371" w:name="_Toc438438864"/>
            <w:bookmarkStart w:id="372" w:name="_Toc438532658"/>
            <w:bookmarkStart w:id="373" w:name="_Toc438734008"/>
            <w:bookmarkStart w:id="374" w:name="_Toc438907044"/>
            <w:bookmarkStart w:id="375" w:name="_Toc438907243"/>
            <w:bookmarkStart w:id="376" w:name="_Toc266443168"/>
            <w:bookmarkStart w:id="377" w:name="_Toc455487638"/>
            <w:bookmarkStart w:id="378" w:name="_Toc175256916"/>
            <w:r>
              <w:rPr>
                <w:rFonts w:ascii="Times New Roman" w:hAnsi="Times New Roman"/>
              </w:rPr>
              <w:t>Criterios de Adjudicación</w:t>
            </w:r>
            <w:bookmarkEnd w:id="371"/>
            <w:bookmarkEnd w:id="372"/>
            <w:bookmarkEnd w:id="373"/>
            <w:bookmarkEnd w:id="374"/>
            <w:bookmarkEnd w:id="375"/>
            <w:bookmarkEnd w:id="376"/>
            <w:bookmarkEnd w:id="377"/>
            <w:bookmarkEnd w:id="378"/>
          </w:p>
        </w:tc>
        <w:tc>
          <w:tcPr>
            <w:tcW w:w="7053" w:type="dxa"/>
            <w:tcBorders>
              <w:top w:val="nil"/>
              <w:left w:val="nil"/>
              <w:bottom w:val="nil"/>
              <w:right w:val="nil"/>
            </w:tcBorders>
          </w:tcPr>
          <w:p>
            <w:pPr>
              <w:pStyle w:val="Header2-SubClauses"/>
              <w:tabs>
                <w:tab w:val="clear" w:pos="2844"/>
              </w:tabs>
              <w:ind w:left="620" w:hanging="634"/>
              <w:rPr>
                <w:rFonts w:cs="Times New Roman"/>
                <w:sz w:val="22"/>
                <w:szCs w:val="22"/>
                <w:lang w:val="es-ES"/>
              </w:rPr>
            </w:pPr>
            <w:r>
              <w:rPr>
                <w:rFonts w:cs="Times New Roman"/>
                <w:sz w:val="22"/>
                <w:szCs w:val="22"/>
                <w:lang w:val="es-ES"/>
              </w:rPr>
              <w:t>Con sujeción a lo dispuesto en la IAO 38, el Comprador adjudicará el Contrato al Oferente que ofrezca la Oferta Más Ventajosa, es decir, aquella que ha sido presentada por un Oferente que cumple con los criterios de calificación y que, además:</w:t>
            </w:r>
          </w:p>
          <w:p>
            <w:pPr>
              <w:pStyle w:val="Header2-SubClauses"/>
              <w:numPr>
                <w:ilvl w:val="1"/>
                <w:numId w:val="82"/>
              </w:numPr>
              <w:ind w:left="1196" w:hanging="567"/>
              <w:rPr>
                <w:rFonts w:cs="Times New Roman"/>
                <w:sz w:val="22"/>
                <w:szCs w:val="22"/>
                <w:lang w:val="es-ES"/>
              </w:rPr>
            </w:pPr>
            <w:r>
              <w:rPr>
                <w:rFonts w:cs="Times New Roman"/>
                <w:sz w:val="22"/>
                <w:szCs w:val="22"/>
                <w:lang w:val="es-ES"/>
              </w:rPr>
              <w:t>se ajusta sustancialmente al documento de licitación; y</w:t>
            </w:r>
          </w:p>
          <w:p>
            <w:pPr>
              <w:pStyle w:val="Header2-SubClauses"/>
              <w:numPr>
                <w:ilvl w:val="1"/>
                <w:numId w:val="82"/>
              </w:numPr>
              <w:ind w:left="1196" w:hanging="567"/>
              <w:rPr>
                <w:rFonts w:cs="Times New Roman"/>
                <w:i/>
                <w:sz w:val="22"/>
                <w:szCs w:val="22"/>
                <w:lang w:val="es-ES"/>
              </w:rPr>
            </w:pPr>
            <w:r>
              <w:rPr>
                <w:rFonts w:cs="Times New Roman"/>
                <w:sz w:val="22"/>
                <w:szCs w:val="22"/>
                <w:lang w:val="es-ES"/>
              </w:rPr>
              <w:t>tiene el costo evaluado más bajo.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379" w:name="_Toc454620958"/>
            <w:bookmarkStart w:id="380" w:name="_Toc438907244"/>
            <w:bookmarkStart w:id="381" w:name="_Toc438907045"/>
            <w:bookmarkStart w:id="382" w:name="_Toc438734009"/>
            <w:bookmarkStart w:id="383" w:name="_Toc438532659"/>
            <w:bookmarkStart w:id="384" w:name="_Toc438438865"/>
            <w:bookmarkStart w:id="385" w:name="_Toc486937460"/>
            <w:bookmarkStart w:id="386" w:name="_Toc175256917"/>
            <w:r>
              <w:rPr>
                <w:rFonts w:ascii="Times New Roman" w:hAnsi="Times New Roman"/>
              </w:rPr>
              <w:t>Derecho del Comprador a Variar las Cantidades en el Momento de la</w:t>
            </w:r>
            <w:bookmarkEnd w:id="379"/>
            <w:bookmarkEnd w:id="380"/>
            <w:bookmarkEnd w:id="381"/>
            <w:bookmarkEnd w:id="382"/>
            <w:bookmarkEnd w:id="383"/>
            <w:bookmarkEnd w:id="384"/>
            <w:r>
              <w:rPr>
                <w:rFonts w:ascii="Times New Roman" w:hAnsi="Times New Roman"/>
              </w:rPr>
              <w:t> Adjudicación</w:t>
            </w:r>
            <w:bookmarkEnd w:id="385"/>
            <w:bookmarkEnd w:id="386"/>
          </w:p>
        </w:tc>
        <w:tc>
          <w:tcPr>
            <w:tcW w:w="7053" w:type="dxa"/>
            <w:tcBorders>
              <w:top w:val="nil"/>
              <w:left w:val="nil"/>
              <w:bottom w:val="nil"/>
              <w:right w:val="nil"/>
            </w:tcBorders>
          </w:tcPr>
          <w:p>
            <w:pPr>
              <w:pStyle w:val="Header2-SubClauses"/>
              <w:tabs>
                <w:tab w:val="clear" w:pos="2844"/>
              </w:tabs>
              <w:ind w:left="620" w:hanging="634"/>
              <w:rPr>
                <w:rFonts w:cs="Times New Roman"/>
                <w:sz w:val="22"/>
                <w:szCs w:val="22"/>
                <w:lang w:val="es-ES"/>
              </w:rPr>
            </w:pPr>
            <w:r>
              <w:rPr>
                <w:rFonts w:cs="Times New Roman"/>
                <w:sz w:val="22"/>
                <w:szCs w:val="22"/>
                <w:lang w:val="es-ES"/>
              </w:rPr>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porcentajes indicados </w:t>
            </w:r>
            <w:r>
              <w:rPr>
                <w:rFonts w:cs="Times New Roman"/>
                <w:b/>
                <w:bCs/>
                <w:sz w:val="22"/>
                <w:szCs w:val="22"/>
                <w:lang w:val="es-ES"/>
              </w:rPr>
              <w:t>en los DDL</w:t>
            </w:r>
            <w:r>
              <w:rPr>
                <w:rFonts w:cs="Times New Roman"/>
                <w:sz w:val="22"/>
                <w:szCs w:val="22"/>
                <w:lang w:val="es-ES"/>
              </w:rPr>
              <w:t>, ni altere los precios unitarios u otros términos y condiciones de la Oferta y del documento de licitación.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656" w:type="dxa"/>
            <w:tcBorders>
              <w:top w:val="nil"/>
              <w:left w:val="nil"/>
              <w:bottom w:val="nil"/>
              <w:right w:val="nil"/>
            </w:tcBorders>
          </w:tcPr>
          <w:p>
            <w:pPr>
              <w:pStyle w:val="IAOs"/>
              <w:rPr>
                <w:rFonts w:ascii="Times New Roman" w:hAnsi="Times New Roman"/>
              </w:rPr>
            </w:pPr>
            <w:bookmarkStart w:id="387" w:name="_Toc438438866"/>
            <w:bookmarkStart w:id="388" w:name="_Toc438532660"/>
            <w:bookmarkStart w:id="389" w:name="_Toc438734010"/>
            <w:bookmarkStart w:id="390" w:name="_Toc438907046"/>
            <w:bookmarkStart w:id="391" w:name="_Toc438907245"/>
            <w:bookmarkStart w:id="392" w:name="_Toc266443169"/>
            <w:bookmarkStart w:id="393" w:name="_Toc455487639"/>
            <w:bookmarkStart w:id="394" w:name="_Toc26891460"/>
            <w:bookmarkStart w:id="395" w:name="_Toc175256918"/>
            <w:r>
              <w:rPr>
                <w:rFonts w:ascii="Times New Roman" w:hAnsi="Times New Roman"/>
              </w:rPr>
              <w:t>Notificación de la Adjudicación</w:t>
            </w:r>
            <w:bookmarkEnd w:id="387"/>
            <w:bookmarkEnd w:id="388"/>
            <w:bookmarkEnd w:id="389"/>
            <w:bookmarkEnd w:id="390"/>
            <w:bookmarkEnd w:id="391"/>
            <w:bookmarkEnd w:id="392"/>
            <w:bookmarkEnd w:id="393"/>
            <w:bookmarkEnd w:id="394"/>
            <w:bookmarkEnd w:id="395"/>
          </w:p>
        </w:tc>
        <w:tc>
          <w:tcPr>
            <w:tcW w:w="7053" w:type="dxa"/>
            <w:tcBorders>
              <w:top w:val="nil"/>
              <w:left w:val="nil"/>
              <w:bottom w:val="nil"/>
              <w:right w:val="nil"/>
            </w:tcBorders>
          </w:tcPr>
          <w:p>
            <w:pPr>
              <w:pStyle w:val="Header2-SubClauses"/>
              <w:tabs>
                <w:tab w:val="clear" w:pos="2844"/>
                <w:tab w:val="num" w:pos="2340"/>
              </w:tabs>
              <w:ind w:left="632"/>
              <w:rPr>
                <w:rFonts w:cs="Times New Roman"/>
                <w:sz w:val="22"/>
                <w:szCs w:val="22"/>
                <w:lang w:val="es-ES"/>
              </w:rPr>
            </w:pPr>
            <w:r>
              <w:rPr>
                <w:rFonts w:cs="Times New Roman"/>
                <w:sz w:val="22"/>
                <w:szCs w:val="22"/>
                <w:lang w:val="es-ES"/>
              </w:rPr>
              <w:t xml:space="preserve">Antes del vencimiento del Período de Validez de la Oferta o de cualquier prórroga otorgada, si la hubiera, y tras la resolución </w:t>
            </w:r>
            <w:r>
              <w:rPr>
                <w:rFonts w:cs="Times New Roman"/>
                <w:sz w:val="22"/>
                <w:szCs w:val="22"/>
                <w:lang w:val="es-ES"/>
              </w:rPr>
              <w:lastRenderedPageBreak/>
              <w:t xml:space="preserve">satisfactoria de cualquier queja que se haya presentado, el 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las Condiciones Contractuales y en los Formularios del Contrato, el “Precio del Contrato”). Dentro de los diez (10) días hábiles posteriores a la fecha de transmisión de la Carta de Aceptación, el Comprador publicará la Notificación de la Adjudicación del Contrato, que contendrá, como mínimo, la siguiente información: </w:t>
            </w:r>
          </w:p>
          <w:p>
            <w:pPr>
              <w:pStyle w:val="Prrafodelista"/>
              <w:numPr>
                <w:ilvl w:val="0"/>
                <w:numId w:val="83"/>
              </w:numPr>
              <w:spacing w:after="200"/>
              <w:contextualSpacing w:val="0"/>
              <w:jc w:val="both"/>
              <w:rPr>
                <w:spacing w:val="-4"/>
                <w:sz w:val="22"/>
                <w:szCs w:val="22"/>
                <w:lang w:val="es-ES"/>
              </w:rPr>
            </w:pPr>
            <w:r>
              <w:rPr>
                <w:spacing w:val="-4"/>
                <w:sz w:val="22"/>
                <w:szCs w:val="22"/>
                <w:lang w:val="es-ES"/>
              </w:rPr>
              <w:t>el nombre y la dirección del Comprador;</w:t>
            </w:r>
          </w:p>
          <w:p>
            <w:pPr>
              <w:pStyle w:val="Prrafodelista"/>
              <w:numPr>
                <w:ilvl w:val="0"/>
                <w:numId w:val="83"/>
              </w:numPr>
              <w:spacing w:after="200"/>
              <w:contextualSpacing w:val="0"/>
              <w:jc w:val="both"/>
              <w:rPr>
                <w:spacing w:val="-4"/>
                <w:sz w:val="22"/>
                <w:szCs w:val="22"/>
                <w:lang w:val="es-ES"/>
              </w:rPr>
            </w:pPr>
            <w:r>
              <w:rPr>
                <w:spacing w:val="-4"/>
                <w:sz w:val="22"/>
                <w:szCs w:val="22"/>
                <w:lang w:val="es-ES"/>
              </w:rPr>
              <w:t xml:space="preserve">el nombre y el número de referencia del contrato que se está adjudicando y método de selección utilizado; </w:t>
            </w:r>
          </w:p>
          <w:p>
            <w:pPr>
              <w:pStyle w:val="Prrafodelista"/>
              <w:numPr>
                <w:ilvl w:val="0"/>
                <w:numId w:val="83"/>
              </w:numPr>
              <w:spacing w:after="200"/>
              <w:contextualSpacing w:val="0"/>
              <w:jc w:val="both"/>
              <w:rPr>
                <w:spacing w:val="-4"/>
                <w:sz w:val="22"/>
                <w:szCs w:val="22"/>
                <w:lang w:val="es-ES"/>
              </w:rPr>
            </w:pPr>
            <w:r>
              <w:rPr>
                <w:spacing w:val="-4"/>
                <w:sz w:val="22"/>
                <w:szCs w:val="22"/>
                <w:lang w:val="es-ES"/>
              </w:rPr>
              <w:t xml:space="preserve">los nombres de todos los Oferentes que hubieran presentado Ofertas, con sus respectivos precios tal como se leyeron en voz alta y tal como se evaluaron; </w:t>
            </w:r>
          </w:p>
          <w:p>
            <w:pPr>
              <w:pStyle w:val="Prrafodelista"/>
              <w:numPr>
                <w:ilvl w:val="0"/>
                <w:numId w:val="83"/>
              </w:numPr>
              <w:spacing w:after="200"/>
              <w:contextualSpacing w:val="0"/>
              <w:jc w:val="both"/>
              <w:rPr>
                <w:spacing w:val="-4"/>
                <w:sz w:val="22"/>
                <w:szCs w:val="22"/>
                <w:lang w:val="es-ES"/>
              </w:rPr>
            </w:pPr>
            <w:r>
              <w:rPr>
                <w:spacing w:val="-4"/>
                <w:sz w:val="22"/>
                <w:szCs w:val="22"/>
                <w:lang w:val="es-ES"/>
              </w:rPr>
              <w:t>los nombres de los Oferentes cuyas Ofertas fueron rechazadas (ya sea por no responder a los requisitos o por no cumplir con los criterios de calificación) o no fueron evaluadas, con los motivos correspondientes;</w:t>
            </w:r>
          </w:p>
          <w:p>
            <w:pPr>
              <w:pStyle w:val="Prrafodelista"/>
              <w:numPr>
                <w:ilvl w:val="0"/>
                <w:numId w:val="83"/>
              </w:numPr>
              <w:spacing w:after="200"/>
              <w:contextualSpacing w:val="0"/>
              <w:jc w:val="both"/>
              <w:rPr>
                <w:spacing w:val="-4"/>
                <w:sz w:val="22"/>
                <w:szCs w:val="22"/>
                <w:lang w:val="es-ES"/>
              </w:rPr>
            </w:pPr>
            <w:r>
              <w:rPr>
                <w:spacing w:val="-4"/>
                <w:sz w:val="22"/>
                <w:szCs w:val="22"/>
                <w:lang w:val="es-ES"/>
              </w:rPr>
              <w:t>el nombre del Oferente ganador, el precio final total del Contrato, su duración y un resumen de su alcance; y</w:t>
            </w:r>
          </w:p>
          <w:p>
            <w:pPr>
              <w:pStyle w:val="Header2-SubClauses"/>
              <w:numPr>
                <w:ilvl w:val="0"/>
                <w:numId w:val="83"/>
              </w:numPr>
              <w:tabs>
                <w:tab w:val="left" w:pos="980"/>
              </w:tabs>
              <w:rPr>
                <w:rFonts w:cs="Times New Roman"/>
                <w:spacing w:val="-4"/>
                <w:sz w:val="22"/>
                <w:szCs w:val="22"/>
                <w:lang w:val="es-ES"/>
              </w:rPr>
            </w:pPr>
            <w:r>
              <w:rPr>
                <w:rFonts w:cs="Times New Roman"/>
                <w:spacing w:val="-4"/>
                <w:sz w:val="22"/>
                <w:szCs w:val="22"/>
                <w:lang w:val="es-ES"/>
              </w:rPr>
              <w:t>el Formulario de Divulgación de la Propiedad Efectiva del Oferente seleccionado, si se especifica en los DDL en referencia a IAO 43.1.</w:t>
            </w:r>
          </w:p>
          <w:p>
            <w:pPr>
              <w:pStyle w:val="Header2-SubClauses"/>
              <w:tabs>
                <w:tab w:val="clear" w:pos="2844"/>
              </w:tabs>
              <w:ind w:left="774"/>
              <w:rPr>
                <w:rFonts w:cs="Times New Roman"/>
                <w:spacing w:val="-4"/>
                <w:sz w:val="22"/>
                <w:szCs w:val="22"/>
                <w:lang w:val="es-ES"/>
              </w:rPr>
            </w:pPr>
            <w:r>
              <w:rPr>
                <w:rFonts w:cs="Times New Roman"/>
                <w:sz w:val="22"/>
                <w:szCs w:val="22"/>
                <w:lang w:val="es-ES"/>
              </w:rPr>
              <w:t xml:space="preserve">La Notificación de la Adjudicación del Contrato se publicará en el sitio web de acceso gratuito del Comprador, si se encontrara disponible, o en al menos un periódico de circulación nacional del País del Comprador o en el boletín oficial. </w:t>
            </w:r>
          </w:p>
          <w:p>
            <w:pPr>
              <w:pStyle w:val="Header2-SubClauses"/>
              <w:tabs>
                <w:tab w:val="clear" w:pos="2844"/>
              </w:tabs>
              <w:ind w:left="774"/>
              <w:rPr>
                <w:rFonts w:cs="Times New Roman"/>
                <w:spacing w:val="-4"/>
                <w:sz w:val="22"/>
                <w:szCs w:val="22"/>
                <w:lang w:val="es-ES"/>
              </w:rPr>
            </w:pPr>
            <w:r>
              <w:rPr>
                <w:rFonts w:cs="Times New Roman"/>
                <w:sz w:val="22"/>
                <w:szCs w:val="22"/>
                <w:lang w:val="es-ES"/>
              </w:rPr>
              <w:t>Hasta que se prepare y perfeccione el Contrato formal, la Carta de Aceptación constituirá un Contrato vinculante.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396" w:name="_Toc19087975"/>
            <w:bookmarkStart w:id="397" w:name="_Toc19095285"/>
            <w:bookmarkStart w:id="398" w:name="_Toc454620960"/>
            <w:bookmarkStart w:id="399" w:name="_Toc486937462"/>
            <w:bookmarkStart w:id="400" w:name="_Toc26891461"/>
            <w:bookmarkStart w:id="401" w:name="_Toc175256919"/>
            <w:bookmarkEnd w:id="396"/>
            <w:bookmarkEnd w:id="397"/>
            <w:r>
              <w:rPr>
                <w:rFonts w:ascii="Times New Roman" w:hAnsi="Times New Roman"/>
              </w:rPr>
              <w:lastRenderedPageBreak/>
              <w:t>Explicaciones del Comprador</w:t>
            </w:r>
            <w:bookmarkEnd w:id="398"/>
            <w:bookmarkEnd w:id="399"/>
            <w:bookmarkEnd w:id="400"/>
            <w:bookmarkEnd w:id="401"/>
          </w:p>
        </w:tc>
        <w:tc>
          <w:tcPr>
            <w:tcW w:w="7053" w:type="dxa"/>
            <w:tcBorders>
              <w:top w:val="nil"/>
              <w:left w:val="nil"/>
              <w:bottom w:val="nil"/>
              <w:right w:val="nil"/>
            </w:tcBorders>
          </w:tcPr>
          <w:p>
            <w:pPr>
              <w:pStyle w:val="Header2-SubClauses"/>
              <w:tabs>
                <w:tab w:val="clear" w:pos="2844"/>
                <w:tab w:val="num" w:pos="2340"/>
              </w:tabs>
              <w:ind w:left="774"/>
              <w:rPr>
                <w:rFonts w:cs="Times New Roman"/>
                <w:sz w:val="22"/>
                <w:szCs w:val="22"/>
                <w:lang w:val="es-ES" w:bidi="es-ES"/>
              </w:rPr>
            </w:pPr>
            <w:r>
              <w:rPr>
                <w:rFonts w:cs="Times New Roman"/>
                <w:sz w:val="22"/>
                <w:szCs w:val="22"/>
                <w:lang w:val="es-ES" w:bidi="es-ES"/>
              </w:rPr>
              <w:t xml:space="preserve">Tras recibir de parte del Comprador la Notificación de </w:t>
            </w:r>
            <w:r>
              <w:rPr>
                <w:rFonts w:cs="Times New Roman"/>
                <w:bCs/>
                <w:sz w:val="22"/>
                <w:szCs w:val="22"/>
                <w:lang w:val="es-ES" w:bidi="es-ES"/>
              </w:rPr>
              <w:t>Resultados</w:t>
            </w:r>
            <w:r>
              <w:rPr>
                <w:rFonts w:cs="Times New Roman"/>
                <w:sz w:val="22"/>
                <w:szCs w:val="22"/>
                <w:lang w:val="es-ES" w:bidi="es-ES"/>
              </w:rPr>
              <w:t>, los Oferentes no favorecidos tendrán un plazo de tres (3) días hábiles para presentar una solicitud de explicaciones por escrito dirigida al Comprador sobre las razones por la cuales su Oferta no fue seleccionada. El Comprador deberá brindar las explicaciones correspondientes a todos los Oferentes cuya solicitud se reciba dentro del plazo establecido.</w:t>
            </w:r>
          </w:p>
          <w:p>
            <w:pPr>
              <w:pStyle w:val="Header2-SubClauses"/>
              <w:tabs>
                <w:tab w:val="clear" w:pos="2844"/>
                <w:tab w:val="num" w:pos="2340"/>
              </w:tabs>
              <w:ind w:left="774"/>
              <w:rPr>
                <w:rFonts w:cs="Times New Roman"/>
                <w:sz w:val="22"/>
                <w:szCs w:val="22"/>
                <w:lang w:val="es-ES" w:bidi="es-ES"/>
              </w:rPr>
            </w:pPr>
            <w:r>
              <w:rPr>
                <w:rFonts w:cs="Times New Roman"/>
                <w:sz w:val="22"/>
                <w:szCs w:val="22"/>
                <w:lang w:val="es-ES" w:bidi="es-ES"/>
              </w:rPr>
              <w:t xml:space="preserve">Cuando se reciba un pedido de explicación dentro de este plazo, el Comprador deberá proporcionarla dentro de los cinco (5) días hábiles posteriores, a menos que decida, por razones justificadas, hacerlo fuera de ese período. </w:t>
            </w:r>
          </w:p>
          <w:p>
            <w:pPr>
              <w:pStyle w:val="Header2-SubClauses"/>
              <w:tabs>
                <w:tab w:val="clear" w:pos="2844"/>
                <w:tab w:val="num" w:pos="2340"/>
              </w:tabs>
              <w:ind w:left="774"/>
              <w:rPr>
                <w:rFonts w:cs="Times New Roman"/>
                <w:sz w:val="22"/>
                <w:szCs w:val="22"/>
                <w:lang w:val="es-ES" w:bidi="es-ES"/>
              </w:rPr>
            </w:pPr>
            <w:r>
              <w:rPr>
                <w:rFonts w:cs="Times New Roman"/>
                <w:sz w:val="22"/>
                <w:szCs w:val="22"/>
                <w:lang w:val="es-ES" w:bidi="es-ES"/>
              </w:rPr>
              <w:t xml:space="preserve">Cuando el Comprador reciba un pedido de explicaciones después de concluido el plazo de tres (3) días hábiles, deberá hacer llegar dicha explicación tan pronto como le sea posible y normalmente a más </w:t>
            </w:r>
            <w:r>
              <w:rPr>
                <w:rFonts w:cs="Times New Roman"/>
                <w:sz w:val="22"/>
                <w:szCs w:val="22"/>
                <w:lang w:val="es-ES" w:bidi="es-ES"/>
              </w:rPr>
              <w:lastRenderedPageBreak/>
              <w:t xml:space="preserve">tardar a los quince (15) días hábiles después de la fecha de publicación de la Notificación de Adjudicación del Contrato. </w:t>
            </w:r>
          </w:p>
          <w:p>
            <w:pPr>
              <w:pStyle w:val="Header2-SubClauses"/>
              <w:tabs>
                <w:tab w:val="clear" w:pos="2844"/>
                <w:tab w:val="num" w:pos="2340"/>
              </w:tabs>
              <w:ind w:left="774"/>
              <w:rPr>
                <w:rFonts w:cs="Times New Roman"/>
                <w:sz w:val="22"/>
                <w:szCs w:val="22"/>
                <w:lang w:val="es-ES" w:bidi="es-ES"/>
              </w:rPr>
            </w:pPr>
            <w:r>
              <w:rPr>
                <w:rFonts w:cs="Times New Roman"/>
                <w:sz w:val="22"/>
                <w:szCs w:val="22"/>
                <w:lang w:val="es-US"/>
              </w:rPr>
              <w:t xml:space="preserve">Las explicaciones a los Oferentes no seleccionados podrán darse </w:t>
            </w:r>
            <w:r>
              <w:rPr>
                <w:rFonts w:cs="Times New Roman"/>
                <w:sz w:val="22"/>
                <w:szCs w:val="22"/>
                <w:lang w:val="es-419"/>
              </w:rPr>
              <w:t>por escrito o mediante una reunión de información, o ambas, a opción del Contratante</w:t>
            </w:r>
            <w:r>
              <w:rPr>
                <w:rFonts w:cs="Times New Roman"/>
                <w:sz w:val="22"/>
                <w:szCs w:val="22"/>
                <w:lang w:val="es-US"/>
              </w:rPr>
              <w:t>. Los gastos incurridos para asistir a la reunión a recibir las explicaciones correrán por cuenta del Oferente.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402" w:name="_Toc438438867"/>
            <w:bookmarkStart w:id="403" w:name="_Toc438532661"/>
            <w:bookmarkStart w:id="404" w:name="_Toc438734011"/>
            <w:bookmarkStart w:id="405" w:name="_Toc438907047"/>
            <w:bookmarkStart w:id="406" w:name="_Toc438907246"/>
            <w:bookmarkStart w:id="407" w:name="_Toc97371046"/>
            <w:bookmarkStart w:id="408" w:name="_Toc139863142"/>
            <w:bookmarkStart w:id="409" w:name="_Toc325723962"/>
            <w:bookmarkStart w:id="410" w:name="_Toc440526060"/>
            <w:bookmarkStart w:id="411" w:name="_Toc435624879"/>
            <w:bookmarkStart w:id="412" w:name="_Toc455487641"/>
            <w:bookmarkStart w:id="413" w:name="_Toc26891462"/>
            <w:bookmarkStart w:id="414" w:name="_Toc175256920"/>
            <w:r>
              <w:rPr>
                <w:rFonts w:ascii="Times New Roman" w:hAnsi="Times New Roman"/>
              </w:rPr>
              <w:lastRenderedPageBreak/>
              <w:t>Firma del Contrato</w:t>
            </w:r>
            <w:bookmarkEnd w:id="402"/>
            <w:bookmarkEnd w:id="403"/>
            <w:bookmarkEnd w:id="404"/>
            <w:bookmarkEnd w:id="405"/>
            <w:bookmarkEnd w:id="406"/>
            <w:bookmarkEnd w:id="407"/>
            <w:bookmarkEnd w:id="408"/>
            <w:bookmarkEnd w:id="409"/>
            <w:bookmarkEnd w:id="410"/>
            <w:bookmarkEnd w:id="411"/>
            <w:bookmarkEnd w:id="412"/>
            <w:bookmarkEnd w:id="413"/>
            <w:bookmarkEnd w:id="414"/>
          </w:p>
        </w:tc>
        <w:tc>
          <w:tcPr>
            <w:tcW w:w="7053" w:type="dxa"/>
            <w:tcBorders>
              <w:top w:val="nil"/>
              <w:left w:val="nil"/>
              <w:bottom w:val="nil"/>
              <w:right w:val="nil"/>
            </w:tcBorders>
          </w:tcPr>
          <w:p>
            <w:pPr>
              <w:pStyle w:val="Header2-SubClauses"/>
              <w:ind w:left="774" w:hanging="567"/>
              <w:rPr>
                <w:rFonts w:cs="Times New Roman"/>
                <w:sz w:val="22"/>
                <w:szCs w:val="22"/>
                <w:lang w:val="es-ES"/>
              </w:rPr>
            </w:pPr>
            <w:r>
              <w:rPr>
                <w:rFonts w:cs="Times New Roman"/>
                <w:sz w:val="22"/>
                <w:szCs w:val="22"/>
                <w:lang w:val="es-ES"/>
              </w:rPr>
              <w:t xml:space="preserve">Inmediatamente después de la Notificación de la Adjudicación, el Comprador enviará el Convenio Contractual al Oferente seleccionado, y, si se especifica </w:t>
            </w:r>
            <w:r>
              <w:rPr>
                <w:rFonts w:cs="Times New Roman"/>
                <w:b/>
                <w:sz w:val="22"/>
                <w:szCs w:val="22"/>
                <w:lang w:val="es-ES"/>
              </w:rPr>
              <w:t>en los DDL</w:t>
            </w:r>
            <w:r>
              <w:rPr>
                <w:rFonts w:cs="Times New Roman"/>
                <w:sz w:val="22"/>
                <w:szCs w:val="22"/>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774" w:hanging="567"/>
              <w:rPr>
                <w:rFonts w:cs="Times New Roman"/>
                <w:sz w:val="22"/>
                <w:szCs w:val="22"/>
                <w:lang w:val="es-ES"/>
              </w:rPr>
            </w:pPr>
            <w:r>
              <w:rPr>
                <w:rFonts w:cs="Times New Roman"/>
                <w:sz w:val="22"/>
                <w:szCs w:val="22"/>
                <w:lang w:val="es-ES"/>
              </w:rPr>
              <w:t>Dentro de los veintiocho (28) días siguientes a la recepción del Convenio Contractual, el Oferente seleccionado deberá firmarlo, fecharlo y devolverlo al Comprador.</w:t>
            </w:r>
          </w:p>
          <w:p>
            <w:pPr>
              <w:pStyle w:val="Header2-SubClauses"/>
              <w:ind w:left="774" w:hanging="567"/>
              <w:rPr>
                <w:rFonts w:cs="Times New Roman"/>
                <w:sz w:val="22"/>
                <w:szCs w:val="22"/>
                <w:lang w:val="es-ES"/>
              </w:rPr>
            </w:pPr>
            <w:r>
              <w:rPr>
                <w:rFonts w:cs="Times New Roman"/>
                <w:sz w:val="22"/>
                <w:szCs w:val="22"/>
                <w:lang w:val="es-ES"/>
              </w:rPr>
              <w:t>No obstante, lo establecido en la IAO 43.2 precedente, en caso de que la firma del Convenio Contractual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sistemas o servicios, el Licitante no será obligado por su Oferta. Lo anterior tendrá efecto siempre y cuando el Licitante pueda demostrar, a satisfacción del Banco y el Comprador, que la firma del Convenio Contractual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415" w:name="_Toc432229716"/>
            <w:bookmarkStart w:id="416" w:name="_Toc432663323"/>
            <w:bookmarkStart w:id="417" w:name="_Toc432663519"/>
            <w:bookmarkStart w:id="418" w:name="_Toc432663714"/>
            <w:bookmarkStart w:id="419" w:name="_Toc433224145"/>
            <w:bookmarkStart w:id="420" w:name="_Toc435519249"/>
            <w:bookmarkStart w:id="421" w:name="_Toc435624883"/>
            <w:bookmarkStart w:id="422" w:name="_Toc455487642"/>
            <w:bookmarkStart w:id="423" w:name="_Toc26891463"/>
            <w:bookmarkStart w:id="424" w:name="_Toc175256921"/>
            <w:bookmarkEnd w:id="415"/>
            <w:bookmarkEnd w:id="416"/>
            <w:bookmarkEnd w:id="417"/>
            <w:bookmarkEnd w:id="418"/>
            <w:bookmarkEnd w:id="419"/>
            <w:bookmarkEnd w:id="420"/>
            <w:bookmarkEnd w:id="421"/>
            <w:r>
              <w:rPr>
                <w:rFonts w:ascii="Times New Roman" w:hAnsi="Times New Roman"/>
              </w:rPr>
              <w:t>Garantía de Cumplimiento</w:t>
            </w:r>
            <w:bookmarkEnd w:id="422"/>
            <w:bookmarkEnd w:id="423"/>
            <w:bookmarkEnd w:id="424"/>
          </w:p>
        </w:tc>
        <w:tc>
          <w:tcPr>
            <w:tcW w:w="7053" w:type="dxa"/>
            <w:tcBorders>
              <w:top w:val="nil"/>
              <w:left w:val="nil"/>
              <w:bottom w:val="nil"/>
              <w:right w:val="nil"/>
            </w:tcBorders>
          </w:tcPr>
          <w:p>
            <w:pPr>
              <w:pStyle w:val="Header2-SubClauses"/>
              <w:ind w:left="774" w:hanging="567"/>
              <w:rPr>
                <w:rFonts w:cs="Times New Roman"/>
                <w:sz w:val="22"/>
                <w:szCs w:val="22"/>
                <w:lang w:val="es-ES"/>
              </w:rPr>
            </w:pPr>
            <w:r>
              <w:rPr>
                <w:rFonts w:cs="Times New Roman"/>
                <w:sz w:val="22"/>
                <w:szCs w:val="22"/>
                <w:lang w:val="es-ES"/>
              </w:rPr>
              <w:t>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IX,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Comprador haya convenido por escrito que no se requiere una institución financiera corresponsal.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70"/>
          <w:jc w:val="center"/>
        </w:trPr>
        <w:tc>
          <w:tcPr>
            <w:tcW w:w="2656" w:type="dxa"/>
            <w:tcBorders>
              <w:top w:val="nil"/>
              <w:left w:val="nil"/>
              <w:bottom w:val="nil"/>
              <w:right w:val="nil"/>
            </w:tcBorders>
          </w:tcPr>
          <w:p>
            <w:pPr>
              <w:pStyle w:val="IAOs"/>
              <w:numPr>
                <w:ilvl w:val="0"/>
                <w:numId w:val="0"/>
              </w:numPr>
              <w:ind w:left="432"/>
              <w:rPr>
                <w:rFonts w:ascii="Times New Roman" w:hAnsi="Times New Roman"/>
              </w:rPr>
            </w:pPr>
          </w:p>
        </w:tc>
        <w:tc>
          <w:tcPr>
            <w:tcW w:w="7053" w:type="dxa"/>
            <w:tcBorders>
              <w:top w:val="nil"/>
              <w:left w:val="nil"/>
              <w:bottom w:val="nil"/>
              <w:right w:val="nil"/>
            </w:tcBorders>
          </w:tcPr>
          <w:p>
            <w:pPr>
              <w:pStyle w:val="Header2-SubClauses"/>
              <w:ind w:left="774" w:hanging="634"/>
              <w:rPr>
                <w:rFonts w:cs="Times New Roman"/>
                <w:sz w:val="22"/>
                <w:szCs w:val="22"/>
                <w:lang w:val="es-ES"/>
              </w:rPr>
            </w:pPr>
            <w:r>
              <w:rPr>
                <w:rFonts w:cs="Times New Roman"/>
                <w:sz w:val="22"/>
                <w:szCs w:val="22"/>
                <w:lang w:val="es-ES"/>
              </w:rPr>
              <w:t>El incumplimiento, por parte del Oferente seleccionado, de su obligación de presentar la Garantía de Cumplimiento antes mencionadas o de firmar el Convenio Contractual constituirá causa suficiente para la anulación de la adjudicación y la pérdida de la Garantía de Mantenimiento de la Oferta. En ese caso, el Comprador puede adjudicar el Contrato al Oferente que presentó la segunda Oferta Más Ventajosa.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rPr>
                <w:rFonts w:ascii="Times New Roman" w:hAnsi="Times New Roman"/>
              </w:rPr>
            </w:pPr>
            <w:bookmarkStart w:id="425" w:name="_Toc486937465"/>
            <w:bookmarkStart w:id="426" w:name="_Toc26891464"/>
            <w:bookmarkStart w:id="427" w:name="_Toc175256922"/>
            <w:r>
              <w:rPr>
                <w:rFonts w:ascii="Times New Roman" w:hAnsi="Times New Roman"/>
              </w:rPr>
              <w:t>Quejas Relacionadas con Adquisiciones</w:t>
            </w:r>
            <w:bookmarkEnd w:id="425"/>
            <w:bookmarkEnd w:id="426"/>
            <w:bookmarkEnd w:id="427"/>
          </w:p>
        </w:tc>
        <w:tc>
          <w:tcPr>
            <w:tcW w:w="7053" w:type="dxa"/>
            <w:tcBorders>
              <w:top w:val="nil"/>
              <w:left w:val="nil"/>
              <w:bottom w:val="nil"/>
              <w:right w:val="nil"/>
            </w:tcBorders>
          </w:tcPr>
          <w:p>
            <w:pPr>
              <w:pStyle w:val="Header2-SubClauses"/>
              <w:ind w:left="774" w:hanging="634"/>
              <w:rPr>
                <w:rFonts w:cs="Times New Roman"/>
                <w:sz w:val="22"/>
                <w:szCs w:val="22"/>
                <w:lang w:val="es-ES"/>
              </w:rPr>
            </w:pPr>
            <w:r>
              <w:rPr>
                <w:rFonts w:cs="Times New Roman"/>
                <w:sz w:val="22"/>
                <w:szCs w:val="22"/>
                <w:lang w:val="es-ES"/>
              </w:rPr>
              <w:t>Los procedimientos para presentar una queja relacionada con el proceso de adquisiciones se especifican en los DDL.</w:t>
            </w:r>
          </w:p>
        </w:tc>
      </w:tr>
    </w:tbl>
    <w:p>
      <w:pPr>
        <w:pStyle w:val="Textoindependiente"/>
        <w:rPr>
          <w:rFonts w:ascii="Times New Roman" w:hAnsi="Times New Roman" w:cs="Times New Roman"/>
          <w:lang w:val="es-ES"/>
        </w:rPr>
        <w:sectPr>
          <w:headerReference w:type="default" r:id="rId20"/>
          <w:footnotePr>
            <w:numRestart w:val="eachSect"/>
          </w:footnotePr>
          <w:pgSz w:w="11906" w:h="16838" w:code="9"/>
          <w:pgMar w:top="1440" w:right="1440" w:bottom="1440" w:left="1440" w:header="720" w:footer="720" w:gutter="0"/>
          <w:paperSrc w:first="15" w:other="15"/>
          <w:cols w:space="720"/>
        </w:sectPr>
      </w:pPr>
      <w:bookmarkStart w:id="428" w:name="_Toc438532584"/>
      <w:bookmarkStart w:id="429" w:name="_Toc438532601"/>
      <w:bookmarkStart w:id="430" w:name="_Toc438532602"/>
      <w:bookmarkStart w:id="431" w:name="_Toc438532639"/>
      <w:bookmarkStart w:id="432" w:name="_Toc438532651"/>
      <w:bookmarkStart w:id="433" w:name="_Toc438532652"/>
      <w:bookmarkStart w:id="434" w:name="_Toc438532653"/>
      <w:bookmarkEnd w:id="428"/>
      <w:bookmarkEnd w:id="429"/>
      <w:bookmarkEnd w:id="430"/>
      <w:bookmarkEnd w:id="431"/>
      <w:bookmarkEnd w:id="432"/>
      <w:bookmarkEnd w:id="433"/>
      <w:bookmarkEnd w:id="434"/>
    </w:p>
    <w:p>
      <w:pPr>
        <w:tabs>
          <w:tab w:val="left" w:pos="180"/>
        </w:tabs>
        <w:ind w:left="720" w:right="288" w:hanging="360"/>
        <w:jc w:val="both"/>
        <w:rPr>
          <w:iCs/>
          <w:spacing w:val="-2"/>
          <w:sz w:val="20"/>
          <w:lang w:val="es-ES"/>
        </w:rPr>
      </w:pPr>
    </w:p>
    <w:p>
      <w:pPr>
        <w:pStyle w:val="Secciones"/>
        <w:rPr>
          <w:rFonts w:ascii="Times New Roman" w:hAnsi="Times New Roman"/>
        </w:rPr>
      </w:pPr>
      <w:bookmarkStart w:id="435" w:name="_Toc450041027"/>
      <w:bookmarkStart w:id="436" w:name="_Toc175256923"/>
      <w:bookmarkStart w:id="437" w:name="_Toc438366665"/>
      <w:bookmarkStart w:id="438" w:name="_Toc41971239"/>
      <w:r>
        <w:rPr>
          <w:rFonts w:ascii="Times New Roman" w:hAnsi="Times New Roman"/>
        </w:rPr>
        <w:t>Sección II. Datos de la Licitación (DDL)</w:t>
      </w:r>
      <w:bookmarkEnd w:id="435"/>
      <w:bookmarkEnd w:id="436"/>
      <w:bookmarkEnd w:id="437"/>
      <w:bookmarkEnd w:id="438"/>
    </w:p>
    <w:tbl>
      <w:tblPr>
        <w:tblW w:w="5003"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645"/>
        <w:gridCol w:w="184"/>
        <w:gridCol w:w="7172"/>
      </w:tblGrid>
      <w:tr>
        <w:tc>
          <w:tcPr>
            <w:tcW w:w="5000" w:type="pct"/>
            <w:gridSpan w:val="3"/>
            <w:tcBorders>
              <w:top w:val="double" w:sz="4" w:space="0" w:color="auto"/>
              <w:left w:val="double" w:sz="4" w:space="0" w:color="auto"/>
              <w:bottom w:val="single" w:sz="2" w:space="0" w:color="000000"/>
              <w:right w:val="double" w:sz="4" w:space="0" w:color="auto"/>
            </w:tcBorders>
            <w:shd w:val="clear" w:color="auto" w:fill="F2F2F2" w:themeFill="background1" w:themeFillShade="F2"/>
          </w:tcPr>
          <w:p>
            <w:pPr>
              <w:pStyle w:val="SubseccionesDDL"/>
              <w:rPr>
                <w:rFonts w:ascii="Times New Roman" w:hAnsi="Times New Roman"/>
              </w:rPr>
            </w:pPr>
            <w:r>
              <w:rPr>
                <w:rFonts w:ascii="Times New Roman" w:hAnsi="Times New Roman"/>
              </w:rPr>
              <w:t>A. Aspectos Generales</w:t>
            </w:r>
          </w:p>
        </w:tc>
      </w:tr>
      <w:tr>
        <w:tc>
          <w:tcPr>
            <w:tcW w:w="914" w:type="pct"/>
            <w:tcBorders>
              <w:top w:val="single" w:sz="2" w:space="0" w:color="000000"/>
              <w:left w:val="double" w:sz="4" w:space="0" w:color="auto"/>
              <w:bottom w:val="single" w:sz="2" w:space="0" w:color="000000"/>
              <w:right w:val="single" w:sz="8" w:space="0" w:color="000000"/>
            </w:tcBorders>
          </w:tcPr>
          <w:p>
            <w:pPr>
              <w:spacing w:before="160" w:after="160"/>
              <w:rPr>
                <w:b/>
                <w:sz w:val="22"/>
                <w:szCs w:val="22"/>
                <w:lang w:val="es-ES"/>
              </w:rPr>
            </w:pPr>
            <w:r>
              <w:rPr>
                <w:b/>
                <w:sz w:val="22"/>
                <w:szCs w:val="22"/>
                <w:lang w:val="es-ES"/>
              </w:rPr>
              <w:t>IAO 1.1</w:t>
            </w:r>
          </w:p>
        </w:tc>
        <w:tc>
          <w:tcPr>
            <w:tcW w:w="4086" w:type="pct"/>
            <w:gridSpan w:val="2"/>
            <w:tcBorders>
              <w:top w:val="single" w:sz="2" w:space="0" w:color="000000"/>
              <w:left w:val="nil"/>
              <w:bottom w:val="single" w:sz="2" w:space="0" w:color="000000"/>
              <w:right w:val="double" w:sz="4" w:space="0" w:color="auto"/>
            </w:tcBorders>
          </w:tcPr>
          <w:p>
            <w:pPr>
              <w:tabs>
                <w:tab w:val="right" w:pos="7272"/>
              </w:tabs>
              <w:spacing w:before="160" w:after="160"/>
              <w:jc w:val="both"/>
              <w:rPr>
                <w:i/>
                <w:sz w:val="22"/>
                <w:szCs w:val="22"/>
                <w:lang w:val="es-EC"/>
              </w:rPr>
            </w:pPr>
            <w:r>
              <w:rPr>
                <w:sz w:val="22"/>
                <w:szCs w:val="22"/>
                <w:lang w:val="es-ES"/>
              </w:rPr>
              <w:t xml:space="preserve">El número de referencia de la Licitación es: </w:t>
            </w:r>
            <w:r>
              <w:rPr>
                <w:b/>
                <w:bCs/>
                <w:iCs/>
                <w:sz w:val="22"/>
                <w:szCs w:val="22"/>
              </w:rPr>
              <w:t xml:space="preserve">EC-L1249-P00028         </w:t>
            </w:r>
            <w:r>
              <w:rPr>
                <w:iCs/>
                <w:sz w:val="22"/>
                <w:szCs w:val="22"/>
              </w:rPr>
              <w:t>.</w:t>
            </w:r>
          </w:p>
          <w:p>
            <w:pPr>
              <w:tabs>
                <w:tab w:val="right" w:pos="7272"/>
              </w:tabs>
              <w:spacing w:before="160" w:after="160"/>
              <w:jc w:val="both"/>
              <w:rPr>
                <w:sz w:val="22"/>
                <w:szCs w:val="22"/>
                <w:u w:val="single"/>
                <w:lang w:val="es-ES"/>
              </w:rPr>
            </w:pPr>
            <w:r>
              <w:rPr>
                <w:sz w:val="22"/>
                <w:szCs w:val="22"/>
                <w:lang w:val="es-ES"/>
              </w:rPr>
              <w:t xml:space="preserve">El Comprador es: </w:t>
            </w:r>
            <w:r>
              <w:rPr>
                <w:b/>
                <w:sz w:val="22"/>
                <w:szCs w:val="22"/>
                <w:lang w:val="es-ES"/>
              </w:rPr>
              <w:t>PROCURADURÍA GENERAL DEL ESTADO</w:t>
            </w:r>
          </w:p>
          <w:p>
            <w:pPr>
              <w:tabs>
                <w:tab w:val="right" w:pos="7272"/>
              </w:tabs>
              <w:spacing w:before="160" w:after="160"/>
              <w:jc w:val="both"/>
              <w:rPr>
                <w:b/>
                <w:i/>
                <w:sz w:val="22"/>
                <w:szCs w:val="22"/>
                <w:lang w:val="es-ES"/>
              </w:rPr>
            </w:pPr>
            <w:r>
              <w:rPr>
                <w:sz w:val="22"/>
                <w:szCs w:val="22"/>
                <w:lang w:val="es-ES"/>
              </w:rPr>
              <w:t xml:space="preserve">El nombre de la Solicitud de Ofertas (SDO) es: </w:t>
            </w:r>
            <w:r>
              <w:rPr>
                <w:b/>
                <w:sz w:val="22"/>
                <w:szCs w:val="22"/>
                <w:lang w:val="es-ES"/>
              </w:rPr>
              <w:t>CAPACITACIÓN HERRAMIENTAS DE COMUNICACIÓN</w:t>
            </w:r>
          </w:p>
        </w:tc>
      </w:tr>
      <w:tr>
        <w:tc>
          <w:tcPr>
            <w:tcW w:w="914" w:type="pct"/>
            <w:tcBorders>
              <w:top w:val="single" w:sz="2" w:space="0" w:color="000000"/>
              <w:left w:val="double" w:sz="4" w:space="0" w:color="auto"/>
              <w:bottom w:val="single" w:sz="2" w:space="0" w:color="000000"/>
              <w:right w:val="single" w:sz="8" w:space="0" w:color="000000"/>
            </w:tcBorders>
          </w:tcPr>
          <w:p>
            <w:pPr>
              <w:spacing w:before="160" w:after="160"/>
              <w:rPr>
                <w:b/>
                <w:sz w:val="22"/>
                <w:szCs w:val="22"/>
                <w:lang w:val="es-ES"/>
              </w:rPr>
            </w:pPr>
            <w:r>
              <w:rPr>
                <w:b/>
                <w:sz w:val="22"/>
                <w:szCs w:val="22"/>
                <w:lang w:val="es-ES"/>
              </w:rPr>
              <w:t>IAO 1.1</w:t>
            </w:r>
          </w:p>
        </w:tc>
        <w:tc>
          <w:tcPr>
            <w:tcW w:w="4086" w:type="pct"/>
            <w:gridSpan w:val="2"/>
            <w:tcBorders>
              <w:top w:val="single" w:sz="2" w:space="0" w:color="000000"/>
              <w:left w:val="nil"/>
              <w:bottom w:val="single" w:sz="2" w:space="0" w:color="000000"/>
              <w:right w:val="double" w:sz="4" w:space="0" w:color="auto"/>
            </w:tcBorders>
          </w:tcPr>
          <w:p>
            <w:pPr>
              <w:tabs>
                <w:tab w:val="right" w:pos="7272"/>
              </w:tabs>
              <w:spacing w:before="160" w:after="160"/>
              <w:jc w:val="both"/>
              <w:rPr>
                <w:sz w:val="22"/>
                <w:szCs w:val="22"/>
                <w:lang w:val="es-ES"/>
              </w:rPr>
            </w:pPr>
            <w:r>
              <w:rPr>
                <w:sz w:val="22"/>
                <w:szCs w:val="22"/>
              </w:rPr>
              <w:t>La adjudicación será total, no existen lotes.</w:t>
            </w:r>
          </w:p>
        </w:tc>
      </w:tr>
      <w:tr>
        <w:trPr>
          <w:trHeight w:val="1005"/>
        </w:trPr>
        <w:tc>
          <w:tcPr>
            <w:tcW w:w="914" w:type="pct"/>
            <w:tcBorders>
              <w:top w:val="single" w:sz="2" w:space="0" w:color="000000"/>
              <w:left w:val="double" w:sz="4" w:space="0" w:color="auto"/>
              <w:bottom w:val="single" w:sz="2" w:space="0" w:color="000000"/>
              <w:right w:val="single" w:sz="8" w:space="0" w:color="000000"/>
            </w:tcBorders>
          </w:tcPr>
          <w:p>
            <w:pPr>
              <w:spacing w:before="160" w:after="160"/>
              <w:ind w:right="-204"/>
              <w:rPr>
                <w:b/>
                <w:sz w:val="22"/>
                <w:szCs w:val="22"/>
                <w:lang w:val="es-ES"/>
              </w:rPr>
            </w:pPr>
            <w:r>
              <w:rPr>
                <w:b/>
                <w:sz w:val="22"/>
                <w:szCs w:val="22"/>
                <w:lang w:val="es-ES"/>
              </w:rPr>
              <w:t>IAO 1.3</w:t>
            </w:r>
          </w:p>
          <w:p>
            <w:pPr>
              <w:spacing w:before="160" w:after="160"/>
              <w:rPr>
                <w:b/>
                <w:sz w:val="22"/>
                <w:szCs w:val="22"/>
                <w:lang w:val="es-ES"/>
              </w:rPr>
            </w:pPr>
            <w:r>
              <w:rPr>
                <w:b/>
                <w:sz w:val="22"/>
                <w:szCs w:val="22"/>
                <w:lang w:val="es-ES"/>
              </w:rPr>
              <w:t>Sistema electrónico de adquisiciones</w:t>
            </w:r>
          </w:p>
        </w:tc>
        <w:tc>
          <w:tcPr>
            <w:tcW w:w="4086" w:type="pct"/>
            <w:gridSpan w:val="2"/>
            <w:tcBorders>
              <w:top w:val="single" w:sz="2" w:space="0" w:color="000000"/>
              <w:left w:val="nil"/>
              <w:bottom w:val="single" w:sz="2" w:space="0" w:color="000000"/>
              <w:right w:val="double" w:sz="4" w:space="0" w:color="auto"/>
            </w:tcBorders>
          </w:tcPr>
          <w:p>
            <w:pPr>
              <w:tabs>
                <w:tab w:val="right" w:pos="7272"/>
              </w:tabs>
              <w:spacing w:before="60" w:after="60"/>
              <w:jc w:val="both"/>
              <w:rPr>
                <w:b/>
                <w:i/>
                <w:sz w:val="22"/>
                <w:szCs w:val="22"/>
                <w:lang w:val="es-ES"/>
              </w:rPr>
            </w:pPr>
            <w:r>
              <w:rPr>
                <w:sz w:val="22"/>
                <w:szCs w:val="22"/>
              </w:rPr>
              <w:t xml:space="preserve">El Contratante </w:t>
            </w:r>
            <w:r>
              <w:rPr>
                <w:b/>
                <w:bCs/>
                <w:sz w:val="22"/>
                <w:szCs w:val="22"/>
              </w:rPr>
              <w:t>no usará</w:t>
            </w:r>
            <w:r>
              <w:rPr>
                <w:sz w:val="22"/>
                <w:szCs w:val="22"/>
              </w:rPr>
              <w:t xml:space="preserve"> un sistema electrónico de adquisiciones para gestionar esta Solicitud de Ofertas (SDO).</w:t>
            </w:r>
            <w:r>
              <w:rPr>
                <w:b/>
                <w:i/>
                <w:sz w:val="22"/>
                <w:szCs w:val="22"/>
              </w:rPr>
              <w:t xml:space="preserve"> </w:t>
            </w:r>
            <w:r>
              <w:rPr>
                <w:b/>
                <w:i/>
                <w:sz w:val="22"/>
                <w:szCs w:val="22"/>
                <w:lang w:val="es-ES"/>
              </w:rPr>
              <w:t xml:space="preserve"> </w:t>
            </w:r>
          </w:p>
        </w:tc>
      </w:tr>
      <w:tr>
        <w:tc>
          <w:tcPr>
            <w:tcW w:w="914" w:type="pct"/>
            <w:tcBorders>
              <w:top w:val="single" w:sz="2" w:space="0" w:color="000000"/>
              <w:left w:val="double" w:sz="4" w:space="0" w:color="auto"/>
              <w:bottom w:val="single" w:sz="2" w:space="0" w:color="000000"/>
              <w:right w:val="single" w:sz="8" w:space="0" w:color="000000"/>
            </w:tcBorders>
          </w:tcPr>
          <w:p>
            <w:pPr>
              <w:spacing w:before="160" w:after="160"/>
              <w:rPr>
                <w:b/>
                <w:sz w:val="22"/>
                <w:szCs w:val="22"/>
                <w:lang w:val="es-ES"/>
              </w:rPr>
            </w:pPr>
            <w:r>
              <w:rPr>
                <w:b/>
                <w:sz w:val="22"/>
                <w:szCs w:val="22"/>
                <w:lang w:val="es-ES"/>
              </w:rPr>
              <w:t>IAO 1.4</w:t>
            </w:r>
          </w:p>
        </w:tc>
        <w:tc>
          <w:tcPr>
            <w:tcW w:w="4086" w:type="pct"/>
            <w:gridSpan w:val="2"/>
            <w:tcBorders>
              <w:top w:val="single" w:sz="2" w:space="0" w:color="000000"/>
              <w:left w:val="nil"/>
              <w:bottom w:val="single" w:sz="2" w:space="0" w:color="000000"/>
              <w:right w:val="double" w:sz="4" w:space="0" w:color="auto"/>
            </w:tcBorders>
          </w:tcPr>
          <w:p>
            <w:pPr>
              <w:spacing w:before="120" w:after="200"/>
              <w:ind w:left="89"/>
              <w:jc w:val="both"/>
              <w:rPr>
                <w:b/>
                <w:i/>
                <w:sz w:val="22"/>
                <w:szCs w:val="22"/>
                <w:lang w:val="es-ES"/>
              </w:rPr>
            </w:pPr>
            <w:r>
              <w:rPr>
                <w:sz w:val="22"/>
                <w:szCs w:val="22"/>
              </w:rPr>
              <w:t>No Aplica</w:t>
            </w:r>
          </w:p>
        </w:tc>
      </w:tr>
      <w:tr>
        <w:tc>
          <w:tcPr>
            <w:tcW w:w="914" w:type="pct"/>
            <w:tcBorders>
              <w:top w:val="single" w:sz="2" w:space="0" w:color="000000"/>
              <w:left w:val="double" w:sz="4" w:space="0" w:color="auto"/>
              <w:bottom w:val="single" w:sz="2" w:space="0" w:color="000000"/>
              <w:right w:val="single" w:sz="8" w:space="0" w:color="000000"/>
            </w:tcBorders>
          </w:tcPr>
          <w:p>
            <w:pPr>
              <w:spacing w:before="160" w:after="160"/>
              <w:rPr>
                <w:b/>
                <w:sz w:val="22"/>
                <w:szCs w:val="22"/>
                <w:lang w:val="es-ES"/>
              </w:rPr>
            </w:pPr>
            <w:r>
              <w:rPr>
                <w:b/>
                <w:sz w:val="22"/>
                <w:szCs w:val="22"/>
                <w:lang w:val="es-ES"/>
              </w:rPr>
              <w:t>IAO 2.1</w:t>
            </w:r>
          </w:p>
        </w:tc>
        <w:tc>
          <w:tcPr>
            <w:tcW w:w="4086" w:type="pct"/>
            <w:gridSpan w:val="2"/>
            <w:tcBorders>
              <w:top w:val="single" w:sz="2" w:space="0" w:color="000000"/>
              <w:left w:val="nil"/>
              <w:bottom w:val="single" w:sz="2" w:space="0" w:color="000000"/>
              <w:right w:val="double" w:sz="4" w:space="0" w:color="auto"/>
            </w:tcBorders>
          </w:tcPr>
          <w:p>
            <w:pPr>
              <w:spacing w:after="120"/>
              <w:jc w:val="both"/>
              <w:rPr>
                <w:iCs/>
                <w:sz w:val="22"/>
                <w:szCs w:val="22"/>
              </w:rPr>
            </w:pPr>
            <w:r>
              <w:rPr>
                <w:b/>
                <w:iCs/>
                <w:sz w:val="22"/>
                <w:szCs w:val="22"/>
              </w:rPr>
              <w:t>El Prestatario es</w:t>
            </w:r>
            <w:r>
              <w:rPr>
                <w:iCs/>
                <w:sz w:val="22"/>
                <w:szCs w:val="22"/>
              </w:rPr>
              <w:t xml:space="preserve">: </w:t>
            </w:r>
            <w:r>
              <w:rPr>
                <w:iCs/>
                <w:sz w:val="22"/>
                <w:szCs w:val="22"/>
              </w:rPr>
              <w:fldChar w:fldCharType="begin"/>
            </w:r>
            <w:r>
              <w:rPr>
                <w:iCs/>
                <w:sz w:val="22"/>
                <w:szCs w:val="22"/>
              </w:rPr>
              <w:instrText xml:space="preserve"> REF  Prestatario  \* MERGEFORMAT </w:instrText>
            </w:r>
            <w:r>
              <w:rPr>
                <w:iCs/>
                <w:sz w:val="22"/>
                <w:szCs w:val="22"/>
              </w:rPr>
              <w:fldChar w:fldCharType="separate"/>
            </w:r>
            <w:r>
              <w:rPr>
                <w:iCs/>
                <w:sz w:val="22"/>
                <w:szCs w:val="22"/>
              </w:rPr>
              <w:t>República del Ecuador</w:t>
            </w:r>
          </w:p>
          <w:p>
            <w:pPr>
              <w:spacing w:after="120"/>
              <w:jc w:val="both"/>
              <w:rPr>
                <w:iCs/>
                <w:sz w:val="22"/>
                <w:szCs w:val="22"/>
              </w:rPr>
            </w:pPr>
            <w:r>
              <w:rPr>
                <w:iCs/>
                <w:sz w:val="22"/>
                <w:szCs w:val="22"/>
              </w:rPr>
              <w:fldChar w:fldCharType="end"/>
            </w:r>
            <w:r>
              <w:rPr>
                <w:b/>
                <w:iCs/>
                <w:sz w:val="22"/>
                <w:szCs w:val="22"/>
              </w:rPr>
              <w:t>El préstamo del Banco es</w:t>
            </w:r>
            <w:r>
              <w:rPr>
                <w:iCs/>
                <w:sz w:val="22"/>
                <w:szCs w:val="22"/>
              </w:rPr>
              <w:t>: PROGRAMA DE MODERNIZACIÓN DE LA ADMINISTRACIÓN FINANCIERA</w:t>
            </w:r>
          </w:p>
          <w:p>
            <w:pPr>
              <w:spacing w:after="120"/>
              <w:jc w:val="both"/>
              <w:rPr>
                <w:iCs/>
                <w:sz w:val="22"/>
                <w:szCs w:val="22"/>
              </w:rPr>
            </w:pPr>
            <w:r>
              <w:rPr>
                <w:b/>
                <w:iCs/>
                <w:sz w:val="22"/>
                <w:szCs w:val="22"/>
              </w:rPr>
              <w:t>Número</w:t>
            </w:r>
            <w:r>
              <w:rPr>
                <w:iCs/>
                <w:sz w:val="22"/>
                <w:szCs w:val="22"/>
              </w:rPr>
              <w:t>: 4812/OC-EC</w:t>
            </w:r>
          </w:p>
          <w:p>
            <w:pPr>
              <w:tabs>
                <w:tab w:val="right" w:pos="7272"/>
              </w:tabs>
              <w:spacing w:before="60" w:after="60"/>
              <w:jc w:val="both"/>
              <w:rPr>
                <w:sz w:val="22"/>
                <w:szCs w:val="22"/>
                <w:lang w:val="es-ES"/>
              </w:rPr>
            </w:pPr>
            <w:r>
              <w:rPr>
                <w:b/>
                <w:iCs/>
                <w:sz w:val="22"/>
                <w:szCs w:val="22"/>
              </w:rPr>
              <w:t>Fecha</w:t>
            </w:r>
            <w:r>
              <w:rPr>
                <w:iCs/>
                <w:sz w:val="22"/>
                <w:szCs w:val="22"/>
              </w:rPr>
              <w:t>: 04 de octubre de 2019</w:t>
            </w:r>
          </w:p>
        </w:tc>
      </w:tr>
      <w:tr>
        <w:trPr>
          <w:trHeight w:val="805"/>
        </w:trPr>
        <w:tc>
          <w:tcPr>
            <w:tcW w:w="914" w:type="pct"/>
            <w:tcBorders>
              <w:top w:val="single" w:sz="2" w:space="0" w:color="000000"/>
              <w:left w:val="double" w:sz="4" w:space="0" w:color="auto"/>
              <w:bottom w:val="single" w:sz="2" w:space="0" w:color="000000"/>
              <w:right w:val="single" w:sz="8" w:space="0" w:color="000000"/>
            </w:tcBorders>
          </w:tcPr>
          <w:p>
            <w:pPr>
              <w:spacing w:before="160" w:after="160"/>
              <w:rPr>
                <w:b/>
                <w:sz w:val="22"/>
                <w:szCs w:val="22"/>
                <w:lang w:val="es-ES"/>
              </w:rPr>
            </w:pPr>
            <w:r>
              <w:rPr>
                <w:b/>
                <w:iCs/>
                <w:sz w:val="22"/>
                <w:szCs w:val="22"/>
                <w:lang w:val="es-ES"/>
              </w:rPr>
              <w:t>IAO 5.3</w:t>
            </w:r>
          </w:p>
        </w:tc>
        <w:tc>
          <w:tcPr>
            <w:tcW w:w="4086" w:type="pct"/>
            <w:gridSpan w:val="2"/>
            <w:tcBorders>
              <w:top w:val="single" w:sz="2" w:space="0" w:color="000000"/>
              <w:left w:val="nil"/>
              <w:bottom w:val="single" w:sz="2" w:space="0" w:color="000000"/>
              <w:right w:val="double" w:sz="4" w:space="0" w:color="auto"/>
            </w:tcBorders>
          </w:tcPr>
          <w:p>
            <w:pPr>
              <w:tabs>
                <w:tab w:val="right" w:pos="7272"/>
              </w:tabs>
              <w:spacing w:before="60" w:after="60"/>
              <w:jc w:val="both"/>
              <w:rPr>
                <w:sz w:val="22"/>
                <w:szCs w:val="22"/>
                <w:lang w:val="es-ES"/>
              </w:rPr>
            </w:pPr>
            <w:r>
              <w:rPr>
                <w:rFonts w:eastAsia="Calibri"/>
                <w:sz w:val="22"/>
                <w:szCs w:val="22"/>
                <w:lang w:val="es-ES"/>
              </w:rPr>
              <w:t>En el sitio virtual del Banco (</w:t>
            </w:r>
            <w:hyperlink r:id="rId21">
              <w:r>
                <w:rPr>
                  <w:rFonts w:eastAsia="Calibri"/>
                  <w:color w:val="0563C1"/>
                  <w:sz w:val="22"/>
                  <w:szCs w:val="22"/>
                  <w:u w:val="single"/>
                  <w:lang w:val="es-ES"/>
                </w:rPr>
                <w:t>www.iadb.org/integridad</w:t>
              </w:r>
            </w:hyperlink>
            <w:r>
              <w:rPr>
                <w:rFonts w:eastAsia="Calibri"/>
                <w:sz w:val="22"/>
                <w:szCs w:val="22"/>
                <w:lang w:val="es-ES"/>
              </w:rPr>
              <w:t>) se facilita información sobre las empresas y personas sancionadas.</w:t>
            </w:r>
            <w:r>
              <w:rPr>
                <w:iCs/>
                <w:sz w:val="22"/>
                <w:szCs w:val="22"/>
                <w:lang w:val="es-ES"/>
              </w:rPr>
              <w:t xml:space="preserve"> </w:t>
            </w:r>
          </w:p>
        </w:tc>
      </w:tr>
      <w:tr>
        <w:trPr>
          <w:trHeight w:val="262"/>
        </w:trPr>
        <w:tc>
          <w:tcPr>
            <w:tcW w:w="914" w:type="pct"/>
            <w:tcBorders>
              <w:top w:val="single" w:sz="2" w:space="0" w:color="000000"/>
              <w:left w:val="double" w:sz="4" w:space="0" w:color="auto"/>
              <w:bottom w:val="single" w:sz="2" w:space="0" w:color="000000"/>
              <w:right w:val="single" w:sz="8" w:space="0" w:color="000000"/>
            </w:tcBorders>
          </w:tcPr>
          <w:p>
            <w:pPr>
              <w:spacing w:before="160" w:after="160"/>
              <w:rPr>
                <w:b/>
                <w:iCs/>
                <w:sz w:val="22"/>
                <w:szCs w:val="22"/>
                <w:lang w:val="es-ES"/>
              </w:rPr>
            </w:pPr>
            <w:r>
              <w:rPr>
                <w:b/>
                <w:iCs/>
                <w:sz w:val="22"/>
                <w:szCs w:val="22"/>
                <w:lang w:val="es-ES"/>
              </w:rPr>
              <w:t>IAO 5.4</w:t>
            </w:r>
          </w:p>
        </w:tc>
        <w:tc>
          <w:tcPr>
            <w:tcW w:w="4086" w:type="pct"/>
            <w:gridSpan w:val="2"/>
            <w:tcBorders>
              <w:top w:val="single" w:sz="2" w:space="0" w:color="000000"/>
              <w:left w:val="nil"/>
              <w:bottom w:val="single" w:sz="2" w:space="0" w:color="000000"/>
              <w:right w:val="double" w:sz="4" w:space="0" w:color="auto"/>
            </w:tcBorders>
          </w:tcPr>
          <w:p>
            <w:pPr>
              <w:tabs>
                <w:tab w:val="right" w:pos="7272"/>
              </w:tabs>
              <w:spacing w:before="60" w:after="60"/>
              <w:jc w:val="both"/>
              <w:rPr>
                <w:rFonts w:eastAsia="Calibri"/>
                <w:sz w:val="22"/>
                <w:szCs w:val="22"/>
                <w:lang w:val="es-ES"/>
              </w:rPr>
            </w:pPr>
            <w:r>
              <w:rPr>
                <w:color w:val="000000"/>
                <w:sz w:val="22"/>
                <w:szCs w:val="22"/>
                <w:lang w:val="es-ES"/>
              </w:rPr>
              <w:t xml:space="preserve">El número máximo de integrantes de la APCA será: </w:t>
            </w:r>
            <w:r>
              <w:rPr>
                <w:iCs/>
                <w:sz w:val="22"/>
                <w:szCs w:val="22"/>
                <w:lang w:val="es-EC"/>
              </w:rPr>
              <w:t>2</w:t>
            </w:r>
          </w:p>
        </w:tc>
      </w:tr>
      <w:t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pPr>
              <w:pStyle w:val="SubseccionesDDL"/>
              <w:rPr>
                <w:rFonts w:ascii="Times New Roman" w:hAnsi="Times New Roman"/>
                <w:i/>
              </w:rPr>
            </w:pPr>
            <w:r>
              <w:rPr>
                <w:rFonts w:ascii="Times New Roman" w:hAnsi="Times New Roman"/>
              </w:rPr>
              <w:t>B. Contenido del Documento de Licitación</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sz w:val="22"/>
                <w:szCs w:val="22"/>
                <w:lang w:val="es-ES"/>
              </w:rPr>
            </w:pPr>
            <w:r>
              <w:rPr>
                <w:b/>
                <w:sz w:val="22"/>
                <w:szCs w:val="22"/>
                <w:lang w:val="es-ES"/>
              </w:rPr>
              <w:t>IAO 8.1</w:t>
            </w:r>
          </w:p>
        </w:tc>
        <w:tc>
          <w:tcPr>
            <w:tcW w:w="3984" w:type="pct"/>
            <w:tcBorders>
              <w:top w:val="single" w:sz="2" w:space="0" w:color="000000"/>
              <w:left w:val="nil"/>
              <w:bottom w:val="single" w:sz="2" w:space="0" w:color="000000"/>
              <w:right w:val="double" w:sz="4" w:space="0" w:color="auto"/>
            </w:tcBorders>
          </w:tcPr>
          <w:p>
            <w:pPr>
              <w:spacing w:after="120"/>
              <w:rPr>
                <w:sz w:val="22"/>
                <w:szCs w:val="22"/>
              </w:rPr>
            </w:pPr>
            <w:r>
              <w:rPr>
                <w:sz w:val="22"/>
                <w:szCs w:val="22"/>
              </w:rPr>
              <w:t xml:space="preserve">La dirección del </w:t>
            </w:r>
            <w:r>
              <w:rPr>
                <w:b/>
                <w:bCs/>
                <w:sz w:val="22"/>
                <w:szCs w:val="22"/>
              </w:rPr>
              <w:t>Contratante</w:t>
            </w:r>
            <w:r>
              <w:rPr>
                <w:sz w:val="22"/>
                <w:szCs w:val="22"/>
              </w:rPr>
              <w:t xml:space="preserve"> para solicitar aclaraciones es: </w:t>
            </w:r>
          </w:p>
          <w:p>
            <w:pPr>
              <w:spacing w:after="120"/>
              <w:rPr>
                <w:sz w:val="22"/>
                <w:szCs w:val="22"/>
              </w:rPr>
            </w:pPr>
            <w:r>
              <w:rPr>
                <w:sz w:val="22"/>
                <w:szCs w:val="22"/>
              </w:rPr>
              <w:t>Quito – Ecuador, Edificio Amazonas Plaza, Av. Amazonas N39-123 y Arizaga, Oficinas Proyecto PROFIP, código postal 170507</w:t>
            </w:r>
          </w:p>
          <w:p>
            <w:pPr>
              <w:tabs>
                <w:tab w:val="right" w:pos="7272"/>
              </w:tabs>
              <w:spacing w:before="120" w:after="120"/>
              <w:jc w:val="both"/>
              <w:rPr>
                <w:sz w:val="22"/>
                <w:szCs w:val="22"/>
                <w:lang w:val="es-ES"/>
              </w:rPr>
            </w:pPr>
            <w:r>
              <w:rPr>
                <w:b/>
                <w:iCs/>
                <w:sz w:val="22"/>
                <w:szCs w:val="22"/>
              </w:rPr>
              <w:t>Correo electrónico</w:t>
            </w:r>
            <w:r>
              <w:rPr>
                <w:iCs/>
                <w:sz w:val="22"/>
                <w:szCs w:val="22"/>
              </w:rPr>
              <w:t xml:space="preserve">: </w:t>
            </w:r>
            <w:hyperlink r:id="rId22" w:history="1">
              <w:r>
                <w:rPr>
                  <w:rStyle w:val="Hipervnculo"/>
                  <w:rFonts w:eastAsia="Calibri"/>
                  <w:spacing w:val="-3"/>
                  <w:sz w:val="22"/>
                  <w:szCs w:val="22"/>
                </w:rPr>
                <w:t>profip@pge.gob.ec</w:t>
              </w:r>
            </w:hyperlink>
          </w:p>
        </w:tc>
      </w:tr>
      <w:t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pPr>
              <w:pStyle w:val="SubseccionesDDL"/>
              <w:rPr>
                <w:rFonts w:ascii="Times New Roman" w:hAnsi="Times New Roman"/>
              </w:rPr>
            </w:pPr>
            <w:r>
              <w:rPr>
                <w:rFonts w:ascii="Times New Roman" w:hAnsi="Times New Roman"/>
              </w:rPr>
              <w:t>C. Preparación de las Ofertas</w:t>
            </w:r>
          </w:p>
        </w:tc>
      </w:tr>
      <w:tr>
        <w:tc>
          <w:tcPr>
            <w:tcW w:w="1016" w:type="pct"/>
            <w:gridSpan w:val="2"/>
            <w:tcBorders>
              <w:top w:val="single" w:sz="2" w:space="0" w:color="000000"/>
              <w:left w:val="double" w:sz="4" w:space="0" w:color="auto"/>
              <w:bottom w:val="single" w:sz="2" w:space="0" w:color="000000"/>
              <w:right w:val="single" w:sz="8" w:space="0" w:color="000000"/>
            </w:tcBorders>
          </w:tcPr>
          <w:p>
            <w:pPr>
              <w:pStyle w:val="Headfid1"/>
              <w:tabs>
                <w:tab w:val="right" w:pos="7434"/>
              </w:tabs>
              <w:spacing w:before="60" w:after="60"/>
              <w:rPr>
                <w:iCs/>
                <w:sz w:val="22"/>
                <w:szCs w:val="22"/>
                <w:lang w:val="es-ES"/>
              </w:rPr>
            </w:pPr>
            <w:r>
              <w:rPr>
                <w:iCs/>
                <w:sz w:val="22"/>
                <w:szCs w:val="22"/>
                <w:lang w:val="es-ES"/>
              </w:rPr>
              <w:t>IAO 11.1</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i/>
                <w:iCs/>
                <w:sz w:val="22"/>
                <w:szCs w:val="22"/>
              </w:rPr>
            </w:pPr>
            <w:r>
              <w:rPr>
                <w:sz w:val="22"/>
                <w:szCs w:val="22"/>
              </w:rPr>
              <w:t xml:space="preserve">El idioma de la Oferta es: </w:t>
            </w:r>
            <w:sdt>
              <w:sdtPr>
                <w:rPr>
                  <w:b/>
                  <w:sz w:val="22"/>
                  <w:szCs w:val="22"/>
                </w:rPr>
                <w:id w:val="-667559045"/>
                <w:placeholder>
                  <w:docPart w:val="ED5EE55389F944D8BC8EC84DB3089278"/>
                </w:placeholder>
                <w:comboBox>
                  <w:listItem w:value="Elija un elemento."/>
                </w:comboBox>
              </w:sdtPr>
              <w:sdtContent>
                <w:r>
                  <w:rPr>
                    <w:b/>
                    <w:sz w:val="22"/>
                    <w:szCs w:val="22"/>
                  </w:rPr>
                  <w:t>español</w:t>
                </w:r>
              </w:sdtContent>
            </w:sdt>
            <w:r>
              <w:rPr>
                <w:sz w:val="22"/>
                <w:szCs w:val="22"/>
              </w:rPr>
              <w:t>.</w:t>
            </w:r>
            <w:r>
              <w:rPr>
                <w:i/>
                <w:iCs/>
                <w:sz w:val="22"/>
                <w:szCs w:val="22"/>
              </w:rPr>
              <w:t xml:space="preserve"> </w:t>
            </w:r>
          </w:p>
          <w:p>
            <w:pPr>
              <w:spacing w:after="200"/>
              <w:jc w:val="both"/>
              <w:rPr>
                <w:iCs/>
                <w:spacing w:val="-4"/>
                <w:sz w:val="22"/>
                <w:szCs w:val="22"/>
              </w:rPr>
            </w:pPr>
            <w:r>
              <w:rPr>
                <w:iCs/>
                <w:spacing w:val="-4"/>
                <w:sz w:val="22"/>
                <w:szCs w:val="22"/>
              </w:rPr>
              <w:t xml:space="preserve">Todo el intercambio de correspondencia se hará en el idioma </w:t>
            </w:r>
            <w:sdt>
              <w:sdtPr>
                <w:rPr>
                  <w:b/>
                  <w:sz w:val="22"/>
                  <w:szCs w:val="22"/>
                </w:rPr>
                <w:id w:val="-950166796"/>
                <w:placeholder>
                  <w:docPart w:val="A4C6A4D7FA0140278A846D363B3425ED"/>
                </w:placeholder>
                <w:comboBox>
                  <w:listItem w:value="Elija un elemento."/>
                </w:comboBox>
              </w:sdtPr>
              <w:sdtContent>
                <w:r>
                  <w:rPr>
                    <w:b/>
                    <w:sz w:val="22"/>
                    <w:szCs w:val="22"/>
                  </w:rPr>
                  <w:t>español</w:t>
                </w:r>
              </w:sdtContent>
            </w:sdt>
            <w:r>
              <w:rPr>
                <w:sz w:val="22"/>
                <w:szCs w:val="22"/>
              </w:rPr>
              <w:t>.</w:t>
            </w:r>
          </w:p>
          <w:p>
            <w:pPr>
              <w:tabs>
                <w:tab w:val="right" w:pos="7254"/>
              </w:tabs>
              <w:spacing w:before="60" w:after="60"/>
              <w:jc w:val="both"/>
              <w:rPr>
                <w:iCs/>
                <w:sz w:val="22"/>
                <w:szCs w:val="22"/>
                <w:lang w:val="es-ES"/>
              </w:rPr>
            </w:pPr>
            <w:r>
              <w:rPr>
                <w:iCs/>
                <w:spacing w:val="-4"/>
                <w:sz w:val="22"/>
                <w:szCs w:val="22"/>
              </w:rPr>
              <w:t xml:space="preserve">El idioma utilizado para la traducción de los documentos justificativos y el material impreso </w:t>
            </w:r>
            <w:r>
              <w:rPr>
                <w:sz w:val="22"/>
                <w:szCs w:val="22"/>
              </w:rPr>
              <w:t>que formen parte de la Oferta</w:t>
            </w:r>
            <w:r>
              <w:rPr>
                <w:iCs/>
                <w:spacing w:val="-4"/>
                <w:sz w:val="22"/>
                <w:szCs w:val="22"/>
              </w:rPr>
              <w:t xml:space="preserve"> es </w:t>
            </w:r>
            <w:sdt>
              <w:sdtPr>
                <w:rPr>
                  <w:b/>
                  <w:sz w:val="22"/>
                  <w:szCs w:val="22"/>
                </w:rPr>
                <w:id w:val="2129743911"/>
                <w:placeholder>
                  <w:docPart w:val="1FB4222E2B954DF4895056B596399A22"/>
                </w:placeholder>
                <w:comboBox>
                  <w:listItem w:value="Elija un elemento."/>
                </w:comboBox>
              </w:sdtPr>
              <w:sdtContent>
                <w:r>
                  <w:rPr>
                    <w:b/>
                    <w:sz w:val="22"/>
                    <w:szCs w:val="22"/>
                  </w:rPr>
                  <w:t>español</w:t>
                </w:r>
              </w:sdtContent>
            </w:sdt>
            <w:r>
              <w:rPr>
                <w:sz w:val="22"/>
                <w:szCs w:val="22"/>
              </w:rPr>
              <w:t>.</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sz w:val="22"/>
                <w:szCs w:val="22"/>
                <w:lang w:val="es-ES"/>
              </w:rPr>
            </w:pPr>
            <w:r>
              <w:rPr>
                <w:b/>
                <w:sz w:val="22"/>
                <w:szCs w:val="22"/>
                <w:lang w:val="es-ES"/>
              </w:rPr>
              <w:t>IAO 12.1 (j)</w:t>
            </w:r>
          </w:p>
        </w:tc>
        <w:tc>
          <w:tcPr>
            <w:tcW w:w="3984" w:type="pct"/>
            <w:tcBorders>
              <w:top w:val="single" w:sz="2" w:space="0" w:color="000000"/>
              <w:left w:val="nil"/>
              <w:bottom w:val="single" w:sz="2" w:space="0" w:color="000000"/>
              <w:right w:val="double" w:sz="4" w:space="0" w:color="auto"/>
            </w:tcBorders>
          </w:tcPr>
          <w:p>
            <w:pPr>
              <w:spacing w:after="120"/>
              <w:jc w:val="both"/>
              <w:rPr>
                <w:sz w:val="22"/>
                <w:szCs w:val="22"/>
              </w:rPr>
            </w:pPr>
            <w:r>
              <w:rPr>
                <w:sz w:val="22"/>
                <w:szCs w:val="22"/>
              </w:rPr>
              <w:t xml:space="preserve">Los Oferentes deberán presentar los siguientes documentos adicionales con su Oferta: </w:t>
            </w:r>
          </w:p>
          <w:p>
            <w:pPr>
              <w:numPr>
                <w:ilvl w:val="0"/>
                <w:numId w:val="182"/>
              </w:numPr>
              <w:jc w:val="both"/>
              <w:rPr>
                <w:sz w:val="22"/>
                <w:szCs w:val="22"/>
              </w:rPr>
            </w:pPr>
            <w:r>
              <w:rPr>
                <w:sz w:val="22"/>
                <w:szCs w:val="22"/>
              </w:rPr>
              <w:t xml:space="preserve">Copia simple del Estatuto de la Sociedad o Registro de la empresa y de corresponder, sus modificaciones y constancia de inscripción en el registro correspondiente o lo equivalente en el país del oferente. (Persona Jurídica) </w:t>
            </w:r>
          </w:p>
          <w:p>
            <w:pPr>
              <w:numPr>
                <w:ilvl w:val="0"/>
                <w:numId w:val="182"/>
              </w:numPr>
              <w:jc w:val="both"/>
              <w:rPr>
                <w:sz w:val="22"/>
                <w:szCs w:val="22"/>
              </w:rPr>
            </w:pPr>
            <w:r>
              <w:rPr>
                <w:sz w:val="22"/>
                <w:szCs w:val="22"/>
              </w:rPr>
              <w:lastRenderedPageBreak/>
              <w:t xml:space="preserve">Copia simple del nombramiento del Representante Legal de la Empresa o su equivalente. (Persona Jurídica) </w:t>
            </w:r>
          </w:p>
          <w:p>
            <w:pPr>
              <w:numPr>
                <w:ilvl w:val="0"/>
                <w:numId w:val="182"/>
              </w:numPr>
              <w:jc w:val="both"/>
              <w:rPr>
                <w:sz w:val="22"/>
                <w:szCs w:val="22"/>
              </w:rPr>
            </w:pPr>
            <w:r>
              <w:rPr>
                <w:sz w:val="22"/>
                <w:szCs w:val="22"/>
              </w:rPr>
              <w:t xml:space="preserve">Copia simple de la cédula de ciudadanía. (Persona Natural). </w:t>
            </w:r>
          </w:p>
          <w:p>
            <w:pPr>
              <w:numPr>
                <w:ilvl w:val="0"/>
                <w:numId w:val="182"/>
              </w:numPr>
              <w:jc w:val="both"/>
              <w:rPr>
                <w:sz w:val="22"/>
                <w:szCs w:val="22"/>
              </w:rPr>
            </w:pPr>
            <w:r>
              <w:rPr>
                <w:sz w:val="22"/>
                <w:szCs w:val="22"/>
              </w:rPr>
              <w:t xml:space="preserve">Copia simple del Registro Único de Contribuyentes - RUC en el cual su actividad económica deberá tener relación directa con el objeto de contratación del presente proceso. (Persona Natural o Jurídica)  </w:t>
            </w:r>
          </w:p>
          <w:p>
            <w:pPr>
              <w:numPr>
                <w:ilvl w:val="0"/>
                <w:numId w:val="182"/>
              </w:numPr>
              <w:jc w:val="both"/>
              <w:rPr>
                <w:sz w:val="22"/>
                <w:szCs w:val="22"/>
              </w:rPr>
            </w:pPr>
            <w:r>
              <w:rPr>
                <w:sz w:val="22"/>
                <w:szCs w:val="22"/>
              </w:rPr>
              <w:t>Declaración del Representante designado del Consorcio o APCA</w:t>
            </w:r>
            <w:r>
              <w:rPr>
                <w:rStyle w:val="Refdenotaalpie"/>
                <w:sz w:val="22"/>
                <w:szCs w:val="22"/>
              </w:rPr>
              <w:footnoteReference w:id="6"/>
            </w:r>
            <w:r>
              <w:rPr>
                <w:sz w:val="22"/>
                <w:szCs w:val="22"/>
              </w:rPr>
              <w:t xml:space="preserve"> sobre el domicilio a constituirse a los efectos de este proceso de contratación o manifestación, suscrita por el Oferente (en el caso de APCA</w:t>
            </w:r>
            <w:r>
              <w:rPr>
                <w:sz w:val="22"/>
                <w:vertAlign w:val="superscript"/>
              </w:rPr>
              <w:footnoteReference w:id="7"/>
            </w:r>
            <w:r>
              <w:rPr>
                <w:sz w:val="22"/>
                <w:szCs w:val="22"/>
              </w:rPr>
              <w:t xml:space="preserve"> o Consorcio, por el Representante designado), con el compromiso de mantener en la República del Ecuador, un apoderado general que garantice el cumplimiento de las obligaciones y o reclamaciones que aplique; así como la capacidad técnica necesaria para la ejecución del contrato.</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bCs/>
                <w:sz w:val="22"/>
                <w:szCs w:val="22"/>
                <w:lang w:val="es-ES"/>
              </w:rPr>
            </w:pPr>
            <w:r>
              <w:rPr>
                <w:b/>
                <w:sz w:val="22"/>
                <w:szCs w:val="22"/>
                <w:lang w:val="es-ES"/>
              </w:rPr>
              <w:lastRenderedPageBreak/>
              <w:t>IAO 14.1</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b/>
                <w:i/>
                <w:sz w:val="22"/>
                <w:szCs w:val="22"/>
                <w:lang w:val="es-ES"/>
              </w:rPr>
            </w:pPr>
            <w:r>
              <w:rPr>
                <w:iCs/>
                <w:sz w:val="22"/>
                <w:szCs w:val="22"/>
              </w:rPr>
              <w:t>No se considerarán Ofertas alternativas</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bCs/>
                <w:sz w:val="22"/>
                <w:szCs w:val="22"/>
                <w:lang w:val="es-ES"/>
              </w:rPr>
            </w:pPr>
            <w:r>
              <w:rPr>
                <w:b/>
                <w:sz w:val="22"/>
                <w:szCs w:val="22"/>
                <w:lang w:val="es-ES"/>
              </w:rPr>
              <w:t>IAO 15.5</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sz w:val="22"/>
                <w:szCs w:val="22"/>
                <w:lang w:val="es-ES"/>
              </w:rPr>
            </w:pPr>
            <w:r>
              <w:rPr>
                <w:sz w:val="22"/>
                <w:szCs w:val="22"/>
              </w:rPr>
              <w:t>Los precios cotizados no estarán sujetos a ajustes de precios.</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sz w:val="22"/>
                <w:szCs w:val="22"/>
                <w:lang w:val="es-ES"/>
              </w:rPr>
            </w:pPr>
            <w:r>
              <w:rPr>
                <w:b/>
                <w:bCs/>
                <w:sz w:val="22"/>
                <w:szCs w:val="22"/>
                <w:lang w:val="es-ES"/>
              </w:rPr>
              <w:t>IAO 15.6</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sz w:val="22"/>
                <w:szCs w:val="22"/>
                <w:lang w:val="es-ES"/>
              </w:rPr>
            </w:pPr>
            <w:r>
              <w:rPr>
                <w:sz w:val="22"/>
                <w:szCs w:val="22"/>
              </w:rPr>
              <w:t>No aplica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sz w:val="22"/>
                <w:szCs w:val="22"/>
                <w:lang w:val="es-ES"/>
              </w:rPr>
            </w:pPr>
            <w:r>
              <w:rPr>
                <w:b/>
                <w:bCs/>
                <w:sz w:val="22"/>
                <w:szCs w:val="22"/>
                <w:lang w:val="es-ES"/>
              </w:rPr>
              <w:t>IAO 15.7</w:t>
            </w:r>
          </w:p>
        </w:tc>
        <w:tc>
          <w:tcPr>
            <w:tcW w:w="3984" w:type="pct"/>
            <w:tcBorders>
              <w:top w:val="single" w:sz="2" w:space="0" w:color="000000"/>
              <w:left w:val="nil"/>
              <w:bottom w:val="single" w:sz="2" w:space="0" w:color="000000"/>
              <w:right w:val="double" w:sz="4" w:space="0" w:color="auto"/>
            </w:tcBorders>
          </w:tcPr>
          <w:p>
            <w:pPr>
              <w:tabs>
                <w:tab w:val="right" w:pos="7254"/>
              </w:tabs>
              <w:spacing w:before="180" w:after="180"/>
              <w:jc w:val="both"/>
              <w:rPr>
                <w:sz w:val="22"/>
                <w:szCs w:val="22"/>
                <w:lang w:val="es-ES"/>
              </w:rPr>
            </w:pPr>
            <w:r>
              <w:rPr>
                <w:sz w:val="22"/>
                <w:szCs w:val="22"/>
              </w:rPr>
              <w:t>No aplica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bCs/>
                <w:sz w:val="22"/>
                <w:szCs w:val="22"/>
                <w:lang w:val="es-ES"/>
              </w:rPr>
            </w:pPr>
            <w:r>
              <w:rPr>
                <w:b/>
                <w:bCs/>
                <w:sz w:val="22"/>
                <w:szCs w:val="22"/>
                <w:lang w:val="es-ES"/>
              </w:rPr>
              <w:t>IAO 15.8 (b) (i) y (c) (v)</w:t>
            </w:r>
          </w:p>
        </w:tc>
        <w:tc>
          <w:tcPr>
            <w:tcW w:w="3984" w:type="pct"/>
            <w:tcBorders>
              <w:top w:val="single" w:sz="2" w:space="0" w:color="000000"/>
              <w:left w:val="nil"/>
              <w:bottom w:val="single" w:sz="2" w:space="0" w:color="000000"/>
              <w:right w:val="double" w:sz="4" w:space="0" w:color="auto"/>
            </w:tcBorders>
          </w:tcPr>
          <w:p>
            <w:pPr>
              <w:tabs>
                <w:tab w:val="right" w:pos="7254"/>
              </w:tabs>
              <w:spacing w:before="180" w:after="180"/>
              <w:jc w:val="both"/>
              <w:rPr>
                <w:spacing w:val="-1"/>
                <w:sz w:val="22"/>
                <w:szCs w:val="22"/>
                <w:lang w:val="es-ES"/>
              </w:rPr>
            </w:pPr>
            <w:r>
              <w:rPr>
                <w:sz w:val="22"/>
                <w:szCs w:val="22"/>
              </w:rPr>
              <w:t>No aplica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bCs/>
                <w:sz w:val="22"/>
                <w:szCs w:val="22"/>
                <w:lang w:val="es-ES"/>
              </w:rPr>
            </w:pPr>
            <w:r>
              <w:rPr>
                <w:b/>
                <w:bCs/>
                <w:sz w:val="22"/>
                <w:szCs w:val="22"/>
                <w:lang w:val="es-ES"/>
              </w:rPr>
              <w:t>IAO 15.8 (a) (iii); (b) (ii) y (c) (v)</w:t>
            </w:r>
          </w:p>
        </w:tc>
        <w:tc>
          <w:tcPr>
            <w:tcW w:w="3984" w:type="pct"/>
            <w:tcBorders>
              <w:top w:val="single" w:sz="2" w:space="0" w:color="000000"/>
              <w:left w:val="nil"/>
              <w:bottom w:val="single" w:sz="2" w:space="0" w:color="000000"/>
              <w:right w:val="double" w:sz="4" w:space="0" w:color="auto"/>
            </w:tcBorders>
          </w:tcPr>
          <w:p>
            <w:pPr>
              <w:tabs>
                <w:tab w:val="right" w:pos="7254"/>
              </w:tabs>
              <w:spacing w:before="180" w:after="180"/>
              <w:jc w:val="both"/>
              <w:rPr>
                <w:spacing w:val="-1"/>
                <w:sz w:val="22"/>
                <w:szCs w:val="22"/>
                <w:lang w:val="es-ES"/>
              </w:rPr>
            </w:pPr>
            <w:r>
              <w:rPr>
                <w:sz w:val="22"/>
                <w:szCs w:val="22"/>
              </w:rPr>
              <w:t>No aplica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bCs/>
                <w:sz w:val="22"/>
                <w:szCs w:val="22"/>
                <w:lang w:val="es-ES"/>
              </w:rPr>
            </w:pPr>
            <w:r>
              <w:rPr>
                <w:b/>
                <w:bCs/>
                <w:sz w:val="22"/>
                <w:szCs w:val="22"/>
                <w:lang w:val="es-ES"/>
              </w:rPr>
              <w:t xml:space="preserve">IAO 16.1 </w:t>
            </w:r>
          </w:p>
        </w:tc>
        <w:tc>
          <w:tcPr>
            <w:tcW w:w="3984" w:type="pct"/>
            <w:tcBorders>
              <w:top w:val="single" w:sz="2" w:space="0" w:color="000000"/>
              <w:left w:val="nil"/>
              <w:bottom w:val="single" w:sz="2" w:space="0" w:color="000000"/>
              <w:right w:val="double" w:sz="4" w:space="0" w:color="auto"/>
            </w:tcBorders>
          </w:tcPr>
          <w:p>
            <w:pPr>
              <w:tabs>
                <w:tab w:val="right" w:pos="7254"/>
              </w:tabs>
              <w:spacing w:before="180" w:after="180"/>
              <w:jc w:val="both"/>
              <w:rPr>
                <w:spacing w:val="-1"/>
                <w:sz w:val="22"/>
                <w:szCs w:val="22"/>
                <w:lang w:val="es-ES"/>
              </w:rPr>
            </w:pPr>
            <w:r>
              <w:rPr>
                <w:sz w:val="22"/>
                <w:szCs w:val="22"/>
              </w:rPr>
              <w:t>El Oferente está obligado a cotizar en la moneda del País del Comprador.</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jc w:val="both"/>
              <w:rPr>
                <w:b/>
                <w:sz w:val="22"/>
                <w:szCs w:val="22"/>
                <w:lang w:val="es-ES"/>
              </w:rPr>
            </w:pPr>
            <w:r>
              <w:rPr>
                <w:b/>
                <w:sz w:val="22"/>
                <w:szCs w:val="22"/>
                <w:lang w:val="es-ES"/>
              </w:rPr>
              <w:t>IAO 17.4</w:t>
            </w:r>
          </w:p>
        </w:tc>
        <w:tc>
          <w:tcPr>
            <w:tcW w:w="3984" w:type="pct"/>
            <w:tcBorders>
              <w:top w:val="single" w:sz="2" w:space="0" w:color="000000"/>
              <w:left w:val="nil"/>
              <w:bottom w:val="single" w:sz="2" w:space="0" w:color="000000"/>
              <w:right w:val="double" w:sz="4" w:space="0" w:color="auto"/>
            </w:tcBorders>
          </w:tcPr>
          <w:p>
            <w:pPr>
              <w:tabs>
                <w:tab w:val="right" w:pos="7254"/>
              </w:tabs>
              <w:spacing w:before="60" w:after="60"/>
              <w:jc w:val="both"/>
              <w:rPr>
                <w:sz w:val="22"/>
                <w:szCs w:val="22"/>
                <w:lang w:val="es-ES"/>
              </w:rPr>
            </w:pPr>
            <w:r>
              <w:rPr>
                <w:sz w:val="22"/>
                <w:szCs w:val="22"/>
                <w:lang w:val="es-ES"/>
              </w:rPr>
              <w:t xml:space="preserve">No Aplica </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jc w:val="both"/>
              <w:rPr>
                <w:b/>
                <w:sz w:val="22"/>
                <w:szCs w:val="22"/>
                <w:lang w:val="es-ES"/>
              </w:rPr>
            </w:pPr>
            <w:r>
              <w:rPr>
                <w:b/>
                <w:bCs/>
                <w:sz w:val="22"/>
                <w:szCs w:val="22"/>
                <w:lang w:val="es-ES"/>
              </w:rPr>
              <w:t>IAO18.2 (a)</w:t>
            </w:r>
          </w:p>
        </w:tc>
        <w:tc>
          <w:tcPr>
            <w:tcW w:w="3984" w:type="pct"/>
            <w:tcBorders>
              <w:top w:val="single" w:sz="2" w:space="0" w:color="000000"/>
              <w:left w:val="nil"/>
              <w:bottom w:val="single" w:sz="2" w:space="0" w:color="000000"/>
              <w:right w:val="double" w:sz="4" w:space="0" w:color="auto"/>
            </w:tcBorders>
          </w:tcPr>
          <w:p>
            <w:pPr>
              <w:tabs>
                <w:tab w:val="right" w:pos="7254"/>
              </w:tabs>
              <w:spacing w:before="60" w:after="60"/>
              <w:jc w:val="both"/>
              <w:rPr>
                <w:sz w:val="22"/>
                <w:szCs w:val="22"/>
                <w:lang w:val="es-ES"/>
              </w:rPr>
            </w:pPr>
            <w:r>
              <w:rPr>
                <w:sz w:val="22"/>
                <w:szCs w:val="22"/>
                <w:lang w:val="es-ES"/>
              </w:rPr>
              <w:t>No Aplica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jc w:val="both"/>
              <w:rPr>
                <w:b/>
                <w:sz w:val="22"/>
                <w:szCs w:val="22"/>
                <w:lang w:val="es-ES"/>
              </w:rPr>
            </w:pPr>
            <w:r>
              <w:rPr>
                <w:b/>
                <w:sz w:val="22"/>
                <w:szCs w:val="22"/>
                <w:lang w:val="es-ES"/>
              </w:rPr>
              <w:t>IAO 18.2 (b)</w:t>
            </w:r>
          </w:p>
        </w:tc>
        <w:tc>
          <w:tcPr>
            <w:tcW w:w="3984" w:type="pct"/>
            <w:tcBorders>
              <w:top w:val="single" w:sz="2" w:space="0" w:color="000000"/>
              <w:left w:val="nil"/>
              <w:bottom w:val="single" w:sz="2" w:space="0" w:color="000000"/>
              <w:right w:val="double" w:sz="4" w:space="0" w:color="auto"/>
            </w:tcBorders>
          </w:tcPr>
          <w:p>
            <w:pPr>
              <w:tabs>
                <w:tab w:val="right" w:pos="7254"/>
              </w:tabs>
              <w:spacing w:before="60" w:after="60"/>
              <w:jc w:val="both"/>
              <w:rPr>
                <w:sz w:val="22"/>
                <w:szCs w:val="22"/>
                <w:lang w:val="es-ES"/>
              </w:rPr>
            </w:pPr>
            <w:r>
              <w:rPr>
                <w:iCs/>
                <w:sz w:val="22"/>
                <w:szCs w:val="22"/>
                <w:lang w:val="es-ES"/>
              </w:rPr>
              <w:t>No Aplica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bCs/>
                <w:sz w:val="22"/>
                <w:szCs w:val="22"/>
                <w:lang w:val="es-ES"/>
              </w:rPr>
            </w:pPr>
            <w:r>
              <w:rPr>
                <w:b/>
                <w:bCs/>
                <w:sz w:val="22"/>
                <w:szCs w:val="22"/>
                <w:lang w:val="es-ES"/>
              </w:rPr>
              <w:t>IAO 19.1</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sz w:val="22"/>
                <w:szCs w:val="22"/>
                <w:lang w:val="es-EC"/>
              </w:rPr>
            </w:pPr>
            <w:r>
              <w:rPr>
                <w:sz w:val="22"/>
                <w:szCs w:val="22"/>
                <w:lang w:val="es-AR"/>
              </w:rPr>
              <w:t>El plazo de Validez de la Oferta será: 90 días.</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bCs/>
                <w:sz w:val="22"/>
                <w:szCs w:val="22"/>
                <w:lang w:val="es-ES"/>
              </w:rPr>
            </w:pPr>
            <w:r>
              <w:rPr>
                <w:b/>
                <w:bCs/>
                <w:sz w:val="22"/>
                <w:szCs w:val="22"/>
                <w:lang w:val="es-ES"/>
              </w:rPr>
              <w:t>IAO 19.3 (a)</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sz w:val="22"/>
                <w:szCs w:val="22"/>
                <w:lang w:val="es-ES"/>
              </w:rPr>
            </w:pPr>
            <w:r>
              <w:rPr>
                <w:color w:val="000000"/>
                <w:sz w:val="22"/>
                <w:szCs w:val="22"/>
                <w:lang w:val="es-ES"/>
              </w:rPr>
              <w:t>No Aplica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sz w:val="22"/>
                <w:szCs w:val="22"/>
                <w:lang w:val="es-ES"/>
              </w:rPr>
            </w:pPr>
            <w:r>
              <w:rPr>
                <w:b/>
                <w:sz w:val="22"/>
                <w:szCs w:val="22"/>
                <w:lang w:val="es-ES"/>
              </w:rPr>
              <w:t>IAO 20.1</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sz w:val="22"/>
                <w:szCs w:val="22"/>
                <w:lang w:val="es-ES"/>
              </w:rPr>
            </w:pPr>
            <w:r>
              <w:rPr>
                <w:sz w:val="22"/>
                <w:szCs w:val="22"/>
              </w:rPr>
              <w:t>La Oferta deberá incluir una Declaración de Mantenimiento de la Oferta.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bCs/>
                <w:sz w:val="22"/>
                <w:szCs w:val="22"/>
                <w:lang w:val="es-ES"/>
              </w:rPr>
            </w:pPr>
            <w:r>
              <w:rPr>
                <w:b/>
                <w:sz w:val="22"/>
                <w:szCs w:val="22"/>
                <w:lang w:val="es-ES"/>
              </w:rPr>
              <w:t>IAO 20.3 (d)</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sz w:val="22"/>
                <w:szCs w:val="22"/>
                <w:lang w:val="es-ES"/>
              </w:rPr>
            </w:pPr>
            <w:r>
              <w:rPr>
                <w:iCs/>
                <w:sz w:val="22"/>
                <w:szCs w:val="22"/>
              </w:rPr>
              <w:t>Ninguno</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bCs/>
                <w:sz w:val="22"/>
                <w:szCs w:val="22"/>
                <w:lang w:val="es-ES"/>
              </w:rPr>
            </w:pPr>
            <w:r>
              <w:rPr>
                <w:b/>
                <w:bCs/>
                <w:sz w:val="22"/>
                <w:szCs w:val="22"/>
                <w:lang w:val="es-ES"/>
              </w:rPr>
              <w:lastRenderedPageBreak/>
              <w:t>IAO 20.9</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00"/>
              <w:jc w:val="both"/>
              <w:rPr>
                <w:sz w:val="22"/>
                <w:szCs w:val="22"/>
                <w:lang w:val="es-ES"/>
              </w:rPr>
            </w:pPr>
            <w:r>
              <w:rPr>
                <w:bCs/>
                <w:iCs/>
                <w:sz w:val="22"/>
                <w:szCs w:val="22"/>
              </w:rPr>
              <w:t>Si el Oferente ejecuta cualquiera de las acciones mencionadas en las IAO 19.9 (a) o (b), el Prestatario declarará al Oferente no elegible como adjudicatario de Contratos del Comprador por un período de 2 años.</w:t>
            </w:r>
          </w:p>
        </w:tc>
      </w:tr>
      <w:tr>
        <w:tc>
          <w:tcPr>
            <w:tcW w:w="1016" w:type="pct"/>
            <w:gridSpan w:val="2"/>
            <w:tcBorders>
              <w:top w:val="single" w:sz="2" w:space="0" w:color="000000"/>
              <w:left w:val="double" w:sz="4" w:space="0" w:color="auto"/>
              <w:bottom w:val="single" w:sz="4" w:space="0" w:color="auto"/>
              <w:right w:val="single" w:sz="8" w:space="0" w:color="000000"/>
            </w:tcBorders>
          </w:tcPr>
          <w:p>
            <w:pPr>
              <w:spacing w:before="160" w:after="160"/>
              <w:rPr>
                <w:b/>
                <w:bCs/>
                <w:sz w:val="22"/>
                <w:szCs w:val="22"/>
                <w:lang w:val="es-ES"/>
              </w:rPr>
            </w:pPr>
            <w:r>
              <w:rPr>
                <w:b/>
                <w:bCs/>
                <w:sz w:val="22"/>
                <w:szCs w:val="22"/>
                <w:lang w:val="es-ES"/>
              </w:rPr>
              <w:t>IAO 21.1</w:t>
            </w:r>
          </w:p>
        </w:tc>
        <w:tc>
          <w:tcPr>
            <w:tcW w:w="3984" w:type="pct"/>
            <w:tcBorders>
              <w:top w:val="single" w:sz="2" w:space="0" w:color="000000"/>
              <w:left w:val="nil"/>
              <w:bottom w:val="single" w:sz="4" w:space="0" w:color="auto"/>
              <w:right w:val="double" w:sz="4" w:space="0" w:color="auto"/>
            </w:tcBorders>
          </w:tcPr>
          <w:p>
            <w:pPr>
              <w:tabs>
                <w:tab w:val="right" w:pos="7254"/>
              </w:tabs>
              <w:spacing w:before="120" w:after="120"/>
              <w:jc w:val="both"/>
              <w:rPr>
                <w:sz w:val="22"/>
                <w:szCs w:val="22"/>
                <w:lang w:val="es-ES"/>
              </w:rPr>
            </w:pPr>
            <w:r>
              <w:rPr>
                <w:sz w:val="22"/>
                <w:szCs w:val="22"/>
                <w:lang w:val="es-ES"/>
              </w:rPr>
              <w:t xml:space="preserve">Además de la oferta original, el número de copias es: </w:t>
            </w:r>
            <w:r>
              <w:rPr>
                <w:iCs/>
                <w:sz w:val="22"/>
                <w:szCs w:val="22"/>
                <w:lang w:val="es-EC"/>
              </w:rPr>
              <w:t>0</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b/>
                <w:bCs/>
                <w:sz w:val="22"/>
                <w:szCs w:val="22"/>
                <w:lang w:val="es-ES"/>
              </w:rPr>
            </w:pPr>
            <w:r>
              <w:rPr>
                <w:b/>
                <w:bCs/>
                <w:sz w:val="22"/>
                <w:szCs w:val="22"/>
                <w:lang w:val="es-ES"/>
              </w:rPr>
              <w:t>IAO 21.3</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sz w:val="22"/>
                <w:szCs w:val="22"/>
              </w:rPr>
            </w:pPr>
            <w:r>
              <w:rPr>
                <w:sz w:val="22"/>
                <w:szCs w:val="22"/>
              </w:rPr>
              <w:t>La confirmación escrita de la autorización para firmar en nombre del Oferente consistirá en: Copia simple del nombramiento del Representante Legal o su equivalente en el caso de ser persona jurídica, de tratarse de una persona natural adjuntar copia simple de la cédula de ciudadanía.</w:t>
            </w:r>
          </w:p>
        </w:tc>
      </w:tr>
      <w:tr>
        <w:tc>
          <w:tcPr>
            <w:tcW w:w="5000" w:type="pct"/>
            <w:gridSpan w:val="3"/>
            <w:tcBorders>
              <w:top w:val="single" w:sz="2" w:space="0" w:color="000000"/>
              <w:left w:val="double" w:sz="4" w:space="0" w:color="auto"/>
              <w:bottom w:val="single" w:sz="2" w:space="0" w:color="000000"/>
              <w:right w:val="double" w:sz="4" w:space="0" w:color="auto"/>
            </w:tcBorders>
            <w:shd w:val="clear" w:color="auto" w:fill="D9D9D9" w:themeFill="background1" w:themeFillShade="D9"/>
          </w:tcPr>
          <w:p>
            <w:pPr>
              <w:pStyle w:val="SubseccionesDDL"/>
              <w:rPr>
                <w:rFonts w:ascii="Times New Roman" w:hAnsi="Times New Roman"/>
              </w:rPr>
            </w:pPr>
            <w:r>
              <w:rPr>
                <w:rFonts w:ascii="Times New Roman" w:hAnsi="Times New Roman"/>
              </w:rPr>
              <w:t>D. Presentación y Apertura de las Ofertas</w:t>
            </w:r>
          </w:p>
        </w:tc>
      </w:tr>
      <w:tr>
        <w:trPr>
          <w:trHeight w:val="2743"/>
        </w:trPr>
        <w:tc>
          <w:tcPr>
            <w:tcW w:w="914" w:type="pct"/>
            <w:tcBorders>
              <w:top w:val="single" w:sz="4" w:space="0" w:color="auto"/>
              <w:left w:val="double" w:sz="4" w:space="0" w:color="auto"/>
              <w:bottom w:val="single" w:sz="4" w:space="0" w:color="auto"/>
              <w:right w:val="single" w:sz="4" w:space="0" w:color="auto"/>
            </w:tcBorders>
          </w:tcPr>
          <w:p>
            <w:pPr>
              <w:spacing w:before="120"/>
              <w:rPr>
                <w:b/>
                <w:bCs/>
                <w:sz w:val="22"/>
                <w:szCs w:val="22"/>
                <w:lang w:val="es-ES"/>
              </w:rPr>
            </w:pPr>
            <w:r>
              <w:rPr>
                <w:b/>
                <w:bCs/>
                <w:sz w:val="22"/>
                <w:szCs w:val="22"/>
                <w:lang w:val="es-ES"/>
              </w:rPr>
              <w:t>IAO 23.1</w:t>
            </w:r>
          </w:p>
        </w:tc>
        <w:tc>
          <w:tcPr>
            <w:tcW w:w="4086" w:type="pct"/>
            <w:gridSpan w:val="2"/>
            <w:tcBorders>
              <w:top w:val="single" w:sz="4" w:space="0" w:color="auto"/>
              <w:left w:val="single" w:sz="4" w:space="0" w:color="auto"/>
              <w:bottom w:val="single" w:sz="4" w:space="0" w:color="auto"/>
              <w:right w:val="double" w:sz="4" w:space="0" w:color="auto"/>
            </w:tcBorders>
          </w:tcPr>
          <w:p>
            <w:pPr>
              <w:tabs>
                <w:tab w:val="right" w:pos="7254"/>
              </w:tabs>
              <w:spacing w:before="120" w:after="120"/>
              <w:jc w:val="both"/>
              <w:rPr>
                <w:i/>
                <w:sz w:val="22"/>
                <w:szCs w:val="22"/>
              </w:rPr>
            </w:pPr>
            <w:r>
              <w:rPr>
                <w:sz w:val="22"/>
                <w:szCs w:val="22"/>
              </w:rPr>
              <w:t>Para propósitos de la presentación de las Ofertas, la dirección del Contratante es:</w:t>
            </w:r>
            <w:r>
              <w:rPr>
                <w:i/>
                <w:sz w:val="22"/>
                <w:szCs w:val="22"/>
              </w:rPr>
              <w:t xml:space="preserve"> </w:t>
            </w:r>
          </w:p>
          <w:p>
            <w:pPr>
              <w:jc w:val="both"/>
              <w:rPr>
                <w:sz w:val="22"/>
                <w:szCs w:val="22"/>
              </w:rPr>
            </w:pPr>
            <w:r>
              <w:rPr>
                <w:b/>
                <w:sz w:val="22"/>
                <w:szCs w:val="22"/>
              </w:rPr>
              <w:t>Atención</w:t>
            </w:r>
            <w:r>
              <w:rPr>
                <w:sz w:val="22"/>
                <w:szCs w:val="22"/>
              </w:rPr>
              <w:t>: Procuraduría General del Estado - PROFIP</w:t>
            </w:r>
          </w:p>
          <w:p>
            <w:pPr>
              <w:jc w:val="both"/>
              <w:rPr>
                <w:sz w:val="22"/>
                <w:szCs w:val="22"/>
              </w:rPr>
            </w:pPr>
            <w:r>
              <w:rPr>
                <w:b/>
                <w:sz w:val="22"/>
                <w:szCs w:val="22"/>
              </w:rPr>
              <w:t>Dirección</w:t>
            </w:r>
            <w:r>
              <w:rPr>
                <w:sz w:val="22"/>
                <w:szCs w:val="22"/>
              </w:rPr>
              <w:t>:</w:t>
            </w:r>
            <w:r>
              <w:rPr>
                <w:color w:val="8DB3E2"/>
                <w:sz w:val="22"/>
                <w:szCs w:val="22"/>
              </w:rPr>
              <w:t xml:space="preserve"> </w:t>
            </w:r>
            <w:r>
              <w:rPr>
                <w:sz w:val="22"/>
                <w:szCs w:val="22"/>
              </w:rPr>
              <w:t xml:space="preserve">Av. Amazonas N39-123 y Arízaga, Edf.  Amazonas Plaza, </w:t>
            </w:r>
            <w:r>
              <w:rPr>
                <w:b/>
                <w:sz w:val="22"/>
                <w:szCs w:val="22"/>
              </w:rPr>
              <w:t>Ingreso de las ofertas a través de ventanilla de Secretaria General</w:t>
            </w:r>
          </w:p>
          <w:p>
            <w:pPr>
              <w:rPr>
                <w:iCs/>
                <w:sz w:val="22"/>
                <w:szCs w:val="22"/>
              </w:rPr>
            </w:pPr>
            <w:r>
              <w:rPr>
                <w:b/>
                <w:sz w:val="22"/>
                <w:szCs w:val="22"/>
              </w:rPr>
              <w:t>Número del Piso/ Oficina</w:t>
            </w:r>
            <w:r>
              <w:rPr>
                <w:sz w:val="22"/>
                <w:szCs w:val="22"/>
              </w:rPr>
              <w:t>:</w:t>
            </w:r>
            <w:r>
              <w:rPr>
                <w:color w:val="8DB3E2"/>
                <w:sz w:val="22"/>
                <w:szCs w:val="22"/>
              </w:rPr>
              <w:t xml:space="preserve"> </w:t>
            </w:r>
            <w:r>
              <w:rPr>
                <w:sz w:val="22"/>
                <w:szCs w:val="22"/>
              </w:rPr>
              <w:t>Planta baja - Secretaria General</w:t>
            </w:r>
          </w:p>
          <w:p>
            <w:pPr>
              <w:rPr>
                <w:color w:val="8DB3E2"/>
                <w:sz w:val="22"/>
                <w:szCs w:val="22"/>
              </w:rPr>
            </w:pPr>
            <w:r>
              <w:rPr>
                <w:b/>
                <w:sz w:val="22"/>
                <w:szCs w:val="22"/>
              </w:rPr>
              <w:t>Ciudad y Código postal</w:t>
            </w:r>
            <w:r>
              <w:rPr>
                <w:sz w:val="22"/>
                <w:szCs w:val="22"/>
              </w:rPr>
              <w:t>:</w:t>
            </w:r>
            <w:r>
              <w:rPr>
                <w:color w:val="8DB3E2"/>
                <w:sz w:val="22"/>
                <w:szCs w:val="22"/>
              </w:rPr>
              <w:t xml:space="preserve"> </w:t>
            </w:r>
            <w:r>
              <w:rPr>
                <w:sz w:val="22"/>
                <w:szCs w:val="22"/>
              </w:rPr>
              <w:t>Quito - 170507</w:t>
            </w:r>
          </w:p>
          <w:p>
            <w:pPr>
              <w:ind w:left="357" w:hanging="357"/>
              <w:jc w:val="both"/>
              <w:rPr>
                <w:iCs/>
                <w:sz w:val="22"/>
                <w:szCs w:val="22"/>
              </w:rPr>
            </w:pPr>
            <w:r>
              <w:rPr>
                <w:b/>
                <w:sz w:val="22"/>
                <w:szCs w:val="22"/>
              </w:rPr>
              <w:t>País</w:t>
            </w:r>
            <w:r>
              <w:rPr>
                <w:sz w:val="22"/>
                <w:szCs w:val="22"/>
              </w:rPr>
              <w:t>:</w:t>
            </w:r>
            <w:r>
              <w:rPr>
                <w:color w:val="8DB3E2"/>
                <w:sz w:val="22"/>
                <w:szCs w:val="22"/>
              </w:rPr>
              <w:t xml:space="preserve"> </w:t>
            </w:r>
            <w:r>
              <w:rPr>
                <w:iCs/>
                <w:sz w:val="22"/>
                <w:szCs w:val="22"/>
              </w:rPr>
              <w:t>Ecuador</w:t>
            </w:r>
          </w:p>
          <w:p>
            <w:pPr>
              <w:spacing w:after="120"/>
              <w:jc w:val="both"/>
              <w:rPr>
                <w:sz w:val="22"/>
                <w:szCs w:val="22"/>
              </w:rPr>
            </w:pPr>
          </w:p>
          <w:p>
            <w:pPr>
              <w:spacing w:after="120"/>
              <w:jc w:val="both"/>
              <w:rPr>
                <w:sz w:val="22"/>
                <w:szCs w:val="22"/>
              </w:rPr>
            </w:pPr>
            <w:r>
              <w:rPr>
                <w:sz w:val="22"/>
                <w:szCs w:val="22"/>
              </w:rPr>
              <w:t xml:space="preserve">La fecha y la hora límite para la presentación de las Ofertas serán: </w:t>
            </w:r>
          </w:p>
          <w:p>
            <w:pPr>
              <w:spacing w:after="120"/>
              <w:jc w:val="both"/>
              <w:rPr>
                <w:iCs/>
                <w:sz w:val="22"/>
                <w:szCs w:val="22"/>
              </w:rPr>
            </w:pPr>
            <w:r>
              <w:rPr>
                <w:b/>
                <w:bCs/>
                <w:sz w:val="22"/>
                <w:szCs w:val="22"/>
              </w:rPr>
              <w:t>Fecha:</w:t>
            </w:r>
            <w:r>
              <w:rPr>
                <w:i/>
                <w:iCs/>
                <w:sz w:val="22"/>
                <w:szCs w:val="22"/>
              </w:rPr>
              <w:t xml:space="preserve"> </w:t>
            </w:r>
            <w:r>
              <w:rPr>
                <w:b/>
                <w:iCs/>
                <w:sz w:val="22"/>
                <w:szCs w:val="22"/>
              </w:rPr>
              <w:t>22 de mayo de 2025</w:t>
            </w:r>
          </w:p>
          <w:p>
            <w:pPr>
              <w:suppressAutoHyphens/>
              <w:spacing w:after="200"/>
              <w:jc w:val="both"/>
              <w:rPr>
                <w:b/>
                <w:spacing w:val="-4"/>
                <w:sz w:val="22"/>
                <w:szCs w:val="22"/>
              </w:rPr>
            </w:pPr>
            <w:r>
              <w:rPr>
                <w:b/>
                <w:bCs/>
                <w:sz w:val="22"/>
                <w:szCs w:val="22"/>
              </w:rPr>
              <w:t>Hora:</w:t>
            </w:r>
            <w:r>
              <w:rPr>
                <w:i/>
                <w:iCs/>
                <w:sz w:val="22"/>
                <w:szCs w:val="22"/>
              </w:rPr>
              <w:t xml:space="preserve"> </w:t>
            </w:r>
            <w:r>
              <w:rPr>
                <w:b/>
                <w:iCs/>
                <w:sz w:val="22"/>
                <w:szCs w:val="22"/>
              </w:rPr>
              <w:t>14h00 pm</w:t>
            </w:r>
            <w:r>
              <w:rPr>
                <w:b/>
                <w:sz w:val="22"/>
                <w:szCs w:val="22"/>
              </w:rPr>
              <w:t xml:space="preserve"> (GMT-5)</w:t>
            </w:r>
          </w:p>
          <w:p>
            <w:pPr>
              <w:tabs>
                <w:tab w:val="right" w:pos="7254"/>
              </w:tabs>
              <w:spacing w:before="60" w:after="60"/>
              <w:jc w:val="both"/>
              <w:rPr>
                <w:sz w:val="22"/>
                <w:szCs w:val="22"/>
                <w:lang w:val="es-EC"/>
              </w:rPr>
            </w:pPr>
            <w:sdt>
              <w:sdtPr>
                <w:rPr>
                  <w:sz w:val="22"/>
                  <w:szCs w:val="22"/>
                </w:rPr>
                <w:id w:val="1257177834"/>
                <w:placeholder>
                  <w:docPart w:val="0B76FF9B997C4F8EBB5F6691A1FC8372"/>
                </w:placeholder>
                <w:comboBox>
                  <w:listItem w:value="Elija un elemento."/>
                </w:comboBox>
              </w:sdtPr>
              <w:sdtContent>
                <w:r>
                  <w:rPr>
                    <w:sz w:val="22"/>
                    <w:szCs w:val="22"/>
                  </w:rPr>
                  <w:t>No podrán</w:t>
                </w:r>
              </w:sdtContent>
            </w:sdt>
            <w:r>
              <w:rPr>
                <w:i/>
                <w:iCs/>
                <w:color w:val="0070C0"/>
                <w:sz w:val="22"/>
                <w:szCs w:val="22"/>
              </w:rPr>
              <w:t xml:space="preserve"> </w:t>
            </w:r>
            <w:r>
              <w:rPr>
                <w:sz w:val="22"/>
                <w:szCs w:val="22"/>
              </w:rPr>
              <w:t>presentar ofertas electrónicamente.</w:t>
            </w:r>
          </w:p>
        </w:tc>
      </w:tr>
      <w:tr>
        <w:tc>
          <w:tcPr>
            <w:tcW w:w="914" w:type="pct"/>
            <w:tcBorders>
              <w:top w:val="single" w:sz="4" w:space="0" w:color="auto"/>
              <w:left w:val="double" w:sz="4" w:space="0" w:color="auto"/>
              <w:bottom w:val="single" w:sz="4" w:space="0" w:color="auto"/>
              <w:right w:val="single" w:sz="4" w:space="0" w:color="auto"/>
            </w:tcBorders>
          </w:tcPr>
          <w:p>
            <w:pPr>
              <w:spacing w:before="160" w:after="160"/>
              <w:rPr>
                <w:b/>
                <w:sz w:val="22"/>
                <w:szCs w:val="22"/>
                <w:lang w:val="es-ES"/>
              </w:rPr>
            </w:pPr>
            <w:r>
              <w:rPr>
                <w:b/>
                <w:sz w:val="22"/>
                <w:szCs w:val="22"/>
                <w:lang w:val="es-ES"/>
              </w:rPr>
              <w:t>IAO 26.1</w:t>
            </w:r>
          </w:p>
        </w:tc>
        <w:tc>
          <w:tcPr>
            <w:tcW w:w="4086" w:type="pct"/>
            <w:gridSpan w:val="2"/>
            <w:tcBorders>
              <w:top w:val="single" w:sz="2" w:space="0" w:color="000000"/>
              <w:left w:val="single" w:sz="4" w:space="0" w:color="auto"/>
              <w:bottom w:val="single" w:sz="2" w:space="0" w:color="000000"/>
              <w:right w:val="double" w:sz="4" w:space="0" w:color="auto"/>
            </w:tcBorders>
          </w:tcPr>
          <w:p>
            <w:pPr>
              <w:pStyle w:val="Outline"/>
              <w:spacing w:before="0" w:after="120"/>
              <w:jc w:val="both"/>
              <w:rPr>
                <w:rFonts w:ascii="Times New Roman" w:hAnsi="Times New Roman"/>
                <w:color w:val="1F497D"/>
                <w:kern w:val="0"/>
                <w:sz w:val="22"/>
                <w:szCs w:val="22"/>
              </w:rPr>
            </w:pPr>
            <w:r>
              <w:rPr>
                <w:rFonts w:ascii="Times New Roman" w:hAnsi="Times New Roman"/>
                <w:kern w:val="0"/>
                <w:sz w:val="22"/>
                <w:szCs w:val="22"/>
              </w:rPr>
              <w:t>La apertura de las Ofertas tendrá lugar en</w:t>
            </w:r>
            <w:r>
              <w:rPr>
                <w:rFonts w:ascii="Times New Roman" w:hAnsi="Times New Roman"/>
                <w:color w:val="1F497D"/>
                <w:kern w:val="0"/>
                <w:sz w:val="22"/>
                <w:szCs w:val="22"/>
              </w:rPr>
              <w:t xml:space="preserve">: </w:t>
            </w:r>
          </w:p>
          <w:p>
            <w:pPr>
              <w:pStyle w:val="Outline"/>
              <w:spacing w:before="0" w:after="120"/>
              <w:rPr>
                <w:rFonts w:ascii="Times New Roman" w:eastAsia="Calibri" w:hAnsi="Times New Roman"/>
                <w:spacing w:val="-3"/>
                <w:sz w:val="22"/>
                <w:szCs w:val="22"/>
              </w:rPr>
            </w:pPr>
            <w:r>
              <w:rPr>
                <w:rFonts w:ascii="Times New Roman" w:eastAsia="Calibri" w:hAnsi="Times New Roman"/>
                <w:spacing w:val="-3"/>
                <w:sz w:val="22"/>
                <w:szCs w:val="22"/>
              </w:rPr>
              <w:t>Las oficinas de la Procuraduría General del Estado, ubicado en la Av. Amazonas N39-123 y Arízaga, Edf.  Amazonas Plaza, Quito – Ecuador.</w:t>
            </w:r>
          </w:p>
          <w:p>
            <w:pPr>
              <w:spacing w:after="120"/>
              <w:jc w:val="both"/>
              <w:rPr>
                <w:iCs/>
                <w:sz w:val="22"/>
                <w:szCs w:val="22"/>
              </w:rPr>
            </w:pPr>
            <w:r>
              <w:rPr>
                <w:b/>
                <w:bCs/>
                <w:sz w:val="22"/>
                <w:szCs w:val="22"/>
              </w:rPr>
              <w:t>Fecha:</w:t>
            </w:r>
            <w:r>
              <w:rPr>
                <w:i/>
                <w:iCs/>
                <w:sz w:val="22"/>
                <w:szCs w:val="22"/>
              </w:rPr>
              <w:t xml:space="preserve"> </w:t>
            </w:r>
            <w:r>
              <w:rPr>
                <w:b/>
                <w:iCs/>
                <w:sz w:val="22"/>
                <w:szCs w:val="22"/>
              </w:rPr>
              <w:t>22 de mayo de 2025</w:t>
            </w:r>
          </w:p>
          <w:p>
            <w:pPr>
              <w:suppressAutoHyphens/>
              <w:spacing w:after="200"/>
              <w:jc w:val="both"/>
              <w:rPr>
                <w:b/>
                <w:spacing w:val="-4"/>
                <w:sz w:val="22"/>
                <w:szCs w:val="22"/>
              </w:rPr>
            </w:pPr>
            <w:r>
              <w:rPr>
                <w:b/>
                <w:bCs/>
                <w:sz w:val="22"/>
                <w:szCs w:val="22"/>
              </w:rPr>
              <w:t>Hora:</w:t>
            </w:r>
            <w:r>
              <w:rPr>
                <w:i/>
                <w:iCs/>
                <w:sz w:val="22"/>
                <w:szCs w:val="22"/>
              </w:rPr>
              <w:t xml:space="preserve"> </w:t>
            </w:r>
            <w:r>
              <w:rPr>
                <w:b/>
                <w:iCs/>
                <w:sz w:val="22"/>
                <w:szCs w:val="22"/>
              </w:rPr>
              <w:t>14</w:t>
            </w:r>
            <w:r>
              <w:rPr>
                <w:b/>
                <w:iCs/>
                <w:sz w:val="22"/>
                <w:szCs w:val="22"/>
              </w:rPr>
              <w:t>h3</w:t>
            </w:r>
            <w:r>
              <w:rPr>
                <w:b/>
                <w:iCs/>
                <w:sz w:val="22"/>
                <w:szCs w:val="22"/>
              </w:rPr>
              <w:t>0 pm</w:t>
            </w:r>
            <w:r>
              <w:rPr>
                <w:b/>
                <w:sz w:val="22"/>
                <w:szCs w:val="22"/>
              </w:rPr>
              <w:t xml:space="preserve"> (GMT-5)</w:t>
            </w:r>
          </w:p>
        </w:tc>
      </w:tr>
      <w:tr>
        <w:trPr>
          <w:trHeight w:val="824"/>
        </w:trPr>
        <w:tc>
          <w:tcPr>
            <w:tcW w:w="914" w:type="pct"/>
            <w:tcBorders>
              <w:top w:val="single" w:sz="4" w:space="0" w:color="auto"/>
              <w:left w:val="double" w:sz="4" w:space="0" w:color="auto"/>
              <w:bottom w:val="single" w:sz="4" w:space="0" w:color="auto"/>
              <w:right w:val="single" w:sz="4" w:space="0" w:color="auto"/>
            </w:tcBorders>
          </w:tcPr>
          <w:p>
            <w:pPr>
              <w:spacing w:before="160" w:after="160"/>
              <w:rPr>
                <w:b/>
                <w:bCs/>
                <w:sz w:val="22"/>
                <w:szCs w:val="22"/>
                <w:lang w:val="es-ES"/>
              </w:rPr>
            </w:pPr>
            <w:r>
              <w:rPr>
                <w:b/>
                <w:sz w:val="22"/>
                <w:szCs w:val="22"/>
                <w:lang w:val="es-ES"/>
              </w:rPr>
              <w:t>IAO 26.6</w:t>
            </w:r>
          </w:p>
        </w:tc>
        <w:tc>
          <w:tcPr>
            <w:tcW w:w="4086" w:type="pct"/>
            <w:gridSpan w:val="2"/>
            <w:tcBorders>
              <w:top w:val="single" w:sz="4" w:space="0" w:color="auto"/>
              <w:left w:val="single" w:sz="4" w:space="0" w:color="auto"/>
              <w:bottom w:val="single" w:sz="4" w:space="0" w:color="auto"/>
              <w:right w:val="double" w:sz="4" w:space="0" w:color="auto"/>
            </w:tcBorders>
          </w:tcPr>
          <w:p>
            <w:pPr>
              <w:tabs>
                <w:tab w:val="right" w:pos="7254"/>
              </w:tabs>
              <w:spacing w:before="120" w:after="120"/>
              <w:jc w:val="both"/>
              <w:rPr>
                <w:sz w:val="22"/>
                <w:szCs w:val="22"/>
                <w:lang w:val="es-ES"/>
              </w:rPr>
            </w:pPr>
            <w:r>
              <w:rPr>
                <w:sz w:val="22"/>
                <w:szCs w:val="22"/>
              </w:rPr>
              <w:t>La Carta de la Oferta y la Lista de Precios deberán ser firmadas con las iniciales de los miembros de la comisión de calificación representantes del Comprador a cargo de la Apertura de Ofertas.</w:t>
            </w:r>
          </w:p>
        </w:tc>
      </w:tr>
      <w:tr>
        <w:trPr>
          <w:trHeight w:val="65"/>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pPr>
              <w:pStyle w:val="SubseccionesDDL"/>
              <w:rPr>
                <w:rFonts w:ascii="Times New Roman" w:hAnsi="Times New Roman"/>
              </w:rPr>
            </w:pPr>
            <w:r>
              <w:rPr>
                <w:rFonts w:ascii="Times New Roman" w:hAnsi="Times New Roman"/>
              </w:rPr>
              <w:t>E. Evaluación y Comparación de las Ofertas</w:t>
            </w:r>
          </w:p>
        </w:tc>
      </w:tr>
      <w:tr>
        <w:tc>
          <w:tcPr>
            <w:tcW w:w="914" w:type="pct"/>
            <w:tcBorders>
              <w:top w:val="single" w:sz="2" w:space="0" w:color="000000"/>
              <w:left w:val="double" w:sz="4" w:space="0" w:color="auto"/>
              <w:bottom w:val="single" w:sz="2" w:space="0" w:color="000000"/>
              <w:right w:val="single" w:sz="8" w:space="0" w:color="000000"/>
            </w:tcBorders>
          </w:tcPr>
          <w:p>
            <w:pPr>
              <w:tabs>
                <w:tab w:val="right" w:pos="7434"/>
              </w:tabs>
              <w:spacing w:before="60" w:after="60"/>
              <w:rPr>
                <w:b/>
                <w:iCs/>
                <w:sz w:val="22"/>
                <w:szCs w:val="22"/>
                <w:lang w:val="es-ES"/>
              </w:rPr>
            </w:pPr>
            <w:r>
              <w:rPr>
                <w:b/>
                <w:bCs/>
                <w:sz w:val="22"/>
                <w:szCs w:val="22"/>
                <w:lang w:val="es-ES"/>
              </w:rPr>
              <w:t>IAO 31.3</w:t>
            </w:r>
          </w:p>
        </w:tc>
        <w:tc>
          <w:tcPr>
            <w:tcW w:w="4086" w:type="pct"/>
            <w:gridSpan w:val="2"/>
            <w:tcBorders>
              <w:top w:val="single" w:sz="2" w:space="0" w:color="000000"/>
              <w:left w:val="nil"/>
              <w:bottom w:val="single" w:sz="2" w:space="0" w:color="000000"/>
              <w:right w:val="double" w:sz="4" w:space="0" w:color="auto"/>
            </w:tcBorders>
          </w:tcPr>
          <w:p>
            <w:pPr>
              <w:tabs>
                <w:tab w:val="right" w:pos="7254"/>
              </w:tabs>
              <w:spacing w:before="60" w:after="60"/>
              <w:jc w:val="both"/>
              <w:rPr>
                <w:bCs/>
                <w:sz w:val="22"/>
                <w:szCs w:val="22"/>
                <w:lang w:val="es-ES"/>
              </w:rPr>
            </w:pPr>
            <w:r>
              <w:rPr>
                <w:color w:val="000000" w:themeColor="text1"/>
                <w:sz w:val="22"/>
                <w:szCs w:val="22"/>
                <w:lang w:val="es-ES"/>
              </w:rPr>
              <w:t>El ajuste se basará en el precio más alto</w:t>
            </w:r>
            <w:r>
              <w:rPr>
                <w:b/>
                <w:i/>
                <w:iCs/>
                <w:color w:val="000000" w:themeColor="text1"/>
                <w:sz w:val="22"/>
                <w:szCs w:val="22"/>
                <w:lang w:val="es-ES"/>
              </w:rPr>
              <w:t xml:space="preserve"> </w:t>
            </w:r>
            <w:r>
              <w:rPr>
                <w:color w:val="000000" w:themeColor="text1"/>
                <w:sz w:val="22"/>
                <w:szCs w:val="22"/>
                <w:lang w:val="es-ES"/>
              </w:rPr>
              <w:t>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tc>
          <w:tcPr>
            <w:tcW w:w="914" w:type="pct"/>
            <w:tcBorders>
              <w:top w:val="single" w:sz="2" w:space="0" w:color="000000"/>
              <w:left w:val="double" w:sz="4" w:space="0" w:color="auto"/>
              <w:bottom w:val="single" w:sz="2" w:space="0" w:color="000000"/>
              <w:right w:val="single" w:sz="8" w:space="0" w:color="000000"/>
            </w:tcBorders>
          </w:tcPr>
          <w:p>
            <w:pPr>
              <w:tabs>
                <w:tab w:val="right" w:pos="7434"/>
              </w:tabs>
              <w:spacing w:before="60" w:after="60"/>
              <w:rPr>
                <w:b/>
                <w:bCs/>
                <w:sz w:val="22"/>
                <w:szCs w:val="22"/>
                <w:lang w:val="es-ES"/>
              </w:rPr>
            </w:pPr>
            <w:r>
              <w:rPr>
                <w:b/>
                <w:bCs/>
                <w:sz w:val="22"/>
                <w:szCs w:val="22"/>
                <w:lang w:val="es-ES"/>
              </w:rPr>
              <w:t>IAO 33.1</w:t>
            </w:r>
          </w:p>
        </w:tc>
        <w:tc>
          <w:tcPr>
            <w:tcW w:w="4086" w:type="pct"/>
            <w:gridSpan w:val="2"/>
            <w:tcBorders>
              <w:top w:val="single" w:sz="2" w:space="0" w:color="000000"/>
              <w:left w:val="nil"/>
              <w:bottom w:val="single" w:sz="2" w:space="0" w:color="000000"/>
              <w:right w:val="double" w:sz="4" w:space="0" w:color="auto"/>
            </w:tcBorders>
          </w:tcPr>
          <w:p>
            <w:pPr>
              <w:tabs>
                <w:tab w:val="right" w:pos="7254"/>
              </w:tabs>
              <w:spacing w:before="60" w:after="60"/>
              <w:jc w:val="both"/>
              <w:rPr>
                <w:color w:val="000000" w:themeColor="text1"/>
                <w:sz w:val="22"/>
                <w:szCs w:val="22"/>
                <w:lang w:val="es-ES"/>
              </w:rPr>
            </w:pPr>
            <w:r>
              <w:rPr>
                <w:color w:val="000000" w:themeColor="text1"/>
                <w:sz w:val="22"/>
                <w:szCs w:val="22"/>
                <w:lang w:val="es-ES"/>
              </w:rPr>
              <w:t>No se aplicará un margen de preferencia nacional.</w:t>
            </w:r>
          </w:p>
        </w:tc>
      </w:tr>
      <w:tr>
        <w:tc>
          <w:tcPr>
            <w:tcW w:w="914" w:type="pct"/>
            <w:tcBorders>
              <w:top w:val="single" w:sz="2" w:space="0" w:color="000000"/>
              <w:left w:val="double" w:sz="4" w:space="0" w:color="auto"/>
              <w:bottom w:val="single" w:sz="2" w:space="0" w:color="000000"/>
              <w:right w:val="single" w:sz="8" w:space="0" w:color="000000"/>
            </w:tcBorders>
          </w:tcPr>
          <w:p>
            <w:pPr>
              <w:tabs>
                <w:tab w:val="right" w:pos="7434"/>
              </w:tabs>
              <w:spacing w:before="60" w:after="60"/>
              <w:rPr>
                <w:b/>
                <w:bCs/>
                <w:sz w:val="22"/>
                <w:szCs w:val="22"/>
                <w:lang w:val="es-ES"/>
              </w:rPr>
            </w:pPr>
            <w:r>
              <w:rPr>
                <w:b/>
                <w:bCs/>
                <w:sz w:val="22"/>
                <w:szCs w:val="22"/>
                <w:lang w:val="es-ES"/>
              </w:rPr>
              <w:t>IAO 34.2 (a)</w:t>
            </w:r>
          </w:p>
        </w:tc>
        <w:tc>
          <w:tcPr>
            <w:tcW w:w="4086" w:type="pct"/>
            <w:gridSpan w:val="2"/>
            <w:tcBorders>
              <w:top w:val="single" w:sz="2" w:space="0" w:color="000000"/>
              <w:left w:val="nil"/>
              <w:bottom w:val="single" w:sz="2" w:space="0" w:color="000000"/>
              <w:right w:val="double" w:sz="4" w:space="0" w:color="auto"/>
            </w:tcBorders>
          </w:tcPr>
          <w:p>
            <w:pPr>
              <w:tabs>
                <w:tab w:val="right" w:pos="7254"/>
              </w:tabs>
              <w:spacing w:before="60" w:after="60"/>
              <w:jc w:val="both"/>
              <w:rPr>
                <w:color w:val="000000" w:themeColor="text1"/>
                <w:sz w:val="22"/>
                <w:szCs w:val="22"/>
                <w:lang w:val="es-ES"/>
              </w:rPr>
            </w:pPr>
            <w:r>
              <w:rPr>
                <w:color w:val="000000" w:themeColor="text1"/>
                <w:sz w:val="22"/>
                <w:szCs w:val="22"/>
                <w:lang w:val="es-ES"/>
              </w:rPr>
              <w:t>La evaluación se hará por los servicios que se deben entregar y el Contrato comprenderá los servicios que se se deben entregar adjudicados al Oferente seleccionado.</w:t>
            </w:r>
          </w:p>
        </w:tc>
      </w:tr>
    </w:tbl>
    <w:p>
      <w:pPr>
        <w:rPr>
          <w:lang w:val="es-ES"/>
        </w:rPr>
      </w:pPr>
      <w:r>
        <w:rPr>
          <w:lang w:val="es-ES"/>
        </w:rPr>
        <w:br w:type="page"/>
      </w:r>
    </w:p>
    <w:tbl>
      <w:tblPr>
        <w:tblW w:w="523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644"/>
        <w:gridCol w:w="128"/>
        <w:gridCol w:w="7645"/>
      </w:tblGrid>
      <w:tr>
        <w:tc>
          <w:tcPr>
            <w:tcW w:w="941" w:type="pct"/>
            <w:gridSpan w:val="2"/>
            <w:tcBorders>
              <w:top w:val="single" w:sz="2" w:space="0" w:color="000000"/>
              <w:left w:val="double" w:sz="4" w:space="0" w:color="auto"/>
              <w:bottom w:val="single" w:sz="2" w:space="0" w:color="000000"/>
              <w:right w:val="single" w:sz="8" w:space="0" w:color="000000"/>
            </w:tcBorders>
          </w:tcPr>
          <w:p>
            <w:pPr>
              <w:tabs>
                <w:tab w:val="right" w:pos="7434"/>
              </w:tabs>
              <w:spacing w:before="60" w:after="60"/>
              <w:rPr>
                <w:b/>
                <w:bCs/>
                <w:sz w:val="22"/>
                <w:szCs w:val="22"/>
                <w:lang w:val="es-ES"/>
              </w:rPr>
            </w:pPr>
            <w:r>
              <w:rPr>
                <w:b/>
                <w:bCs/>
                <w:sz w:val="22"/>
                <w:szCs w:val="22"/>
                <w:lang w:val="es-ES"/>
              </w:rPr>
              <w:lastRenderedPageBreak/>
              <w:t>IAO 34.6</w:t>
            </w:r>
          </w:p>
        </w:tc>
        <w:tc>
          <w:tcPr>
            <w:tcW w:w="4059" w:type="pct"/>
            <w:tcBorders>
              <w:top w:val="single" w:sz="2" w:space="0" w:color="000000"/>
              <w:left w:val="nil"/>
              <w:bottom w:val="single" w:sz="2" w:space="0" w:color="000000"/>
              <w:right w:val="double" w:sz="4" w:space="0" w:color="auto"/>
            </w:tcBorders>
          </w:tcPr>
          <w:p>
            <w:pPr>
              <w:spacing w:before="120" w:after="120"/>
              <w:ind w:left="-13"/>
              <w:jc w:val="both"/>
              <w:rPr>
                <w:b/>
                <w:i/>
                <w:sz w:val="22"/>
                <w:szCs w:val="22"/>
                <w:lang w:val="es-ES"/>
              </w:rPr>
            </w:pPr>
            <w:r>
              <w:rPr>
                <w:sz w:val="22"/>
                <w:szCs w:val="22"/>
                <w:lang w:val="es-ES"/>
              </w:rPr>
              <w:t>Los ajustes se determinarán utilizando los siguientes criterios de entre los enumerados en la Sección III, “Criterios de Evaluación y Calificación”:</w:t>
            </w:r>
          </w:p>
          <w:p>
            <w:pPr>
              <w:numPr>
                <w:ilvl w:val="0"/>
                <w:numId w:val="90"/>
              </w:numPr>
              <w:spacing w:before="120" w:after="120"/>
              <w:ind w:left="709" w:hanging="709"/>
              <w:jc w:val="both"/>
              <w:rPr>
                <w:b/>
                <w:sz w:val="22"/>
                <w:szCs w:val="22"/>
                <w:lang w:val="es-ES"/>
              </w:rPr>
            </w:pPr>
            <w:r>
              <w:rPr>
                <w:sz w:val="22"/>
                <w:szCs w:val="22"/>
                <w:lang w:val="es-ES"/>
              </w:rPr>
              <w:t xml:space="preserve">Desviación en el Cronograma de Entregas: </w:t>
            </w:r>
            <w:r>
              <w:rPr>
                <w:iCs/>
                <w:sz w:val="22"/>
                <w:szCs w:val="22"/>
                <w:lang w:val="es-EC"/>
              </w:rPr>
              <w:t>No</w:t>
            </w:r>
          </w:p>
          <w:p>
            <w:pPr>
              <w:numPr>
                <w:ilvl w:val="0"/>
                <w:numId w:val="90"/>
              </w:numPr>
              <w:spacing w:before="120" w:after="120"/>
              <w:ind w:left="709" w:hanging="709"/>
              <w:jc w:val="both"/>
              <w:rPr>
                <w:b/>
                <w:sz w:val="22"/>
                <w:szCs w:val="22"/>
                <w:lang w:val="es-ES"/>
              </w:rPr>
            </w:pPr>
            <w:r>
              <w:rPr>
                <w:sz w:val="22"/>
                <w:szCs w:val="22"/>
                <w:lang w:val="es-ES"/>
              </w:rPr>
              <w:t xml:space="preserve">Desviación en el plan de pagos: </w:t>
            </w:r>
            <w:r>
              <w:rPr>
                <w:iCs/>
                <w:sz w:val="22"/>
                <w:szCs w:val="22"/>
                <w:lang w:val="es-EC"/>
              </w:rPr>
              <w:t>No</w:t>
            </w:r>
          </w:p>
          <w:p>
            <w:pPr>
              <w:numPr>
                <w:ilvl w:val="0"/>
                <w:numId w:val="90"/>
              </w:numPr>
              <w:tabs>
                <w:tab w:val="left" w:pos="707"/>
                <w:tab w:val="num" w:pos="1247"/>
              </w:tabs>
              <w:spacing w:before="120" w:after="120"/>
              <w:ind w:left="709" w:hanging="709"/>
              <w:jc w:val="both"/>
              <w:rPr>
                <w:b/>
                <w:sz w:val="22"/>
                <w:szCs w:val="22"/>
                <w:lang w:val="es-ES"/>
              </w:rPr>
            </w:pPr>
            <w:r>
              <w:rPr>
                <w:sz w:val="22"/>
                <w:szCs w:val="22"/>
                <w:lang w:val="es-ES"/>
              </w:rPr>
              <w:t xml:space="preserve">Costo de reemplazo de componentes importantes, repuestos obligatorios y servicio: </w:t>
            </w:r>
            <w:r>
              <w:rPr>
                <w:iCs/>
                <w:sz w:val="22"/>
                <w:szCs w:val="22"/>
                <w:lang w:val="es-EC"/>
              </w:rPr>
              <w:t>No</w:t>
            </w:r>
            <w:r>
              <w:rPr>
                <w:sz w:val="22"/>
                <w:szCs w:val="22"/>
                <w:lang w:val="es-ES"/>
              </w:rPr>
              <w:t xml:space="preserve"> </w:t>
            </w:r>
          </w:p>
          <w:p>
            <w:pPr>
              <w:numPr>
                <w:ilvl w:val="0"/>
                <w:numId w:val="90"/>
              </w:numPr>
              <w:tabs>
                <w:tab w:val="left" w:pos="707"/>
                <w:tab w:val="num" w:pos="1247"/>
              </w:tabs>
              <w:spacing w:before="120" w:after="120"/>
              <w:ind w:left="709" w:hanging="709"/>
              <w:jc w:val="both"/>
              <w:rPr>
                <w:b/>
                <w:sz w:val="22"/>
                <w:szCs w:val="22"/>
                <w:lang w:val="es-ES"/>
              </w:rPr>
            </w:pPr>
            <w:r>
              <w:rPr>
                <w:sz w:val="22"/>
                <w:szCs w:val="22"/>
                <w:lang w:val="es-ES"/>
              </w:rPr>
              <w:t xml:space="preserve">Disponibilidad en el País del Comprador de repuestos y servicios posteriores a la venta para los equipos ofrecidos en la Oferta: </w:t>
            </w:r>
            <w:r>
              <w:rPr>
                <w:iCs/>
                <w:sz w:val="22"/>
                <w:szCs w:val="22"/>
                <w:lang w:val="es-EC"/>
              </w:rPr>
              <w:t>No</w:t>
            </w:r>
          </w:p>
          <w:p>
            <w:pPr>
              <w:numPr>
                <w:ilvl w:val="0"/>
                <w:numId w:val="90"/>
              </w:numPr>
              <w:spacing w:before="120" w:after="120"/>
              <w:ind w:left="709" w:hanging="709"/>
              <w:jc w:val="both"/>
              <w:rPr>
                <w:b/>
                <w:sz w:val="22"/>
                <w:szCs w:val="22"/>
                <w:lang w:val="es-ES"/>
              </w:rPr>
            </w:pPr>
            <w:r>
              <w:rPr>
                <w:sz w:val="22"/>
                <w:szCs w:val="22"/>
                <w:lang w:val="es-ES"/>
              </w:rPr>
              <w:t xml:space="preserve">Costos durante la vida útil: Los costos en que se incurra durante la vida útil de los bienes o los equipos: </w:t>
            </w:r>
            <w:r>
              <w:rPr>
                <w:iCs/>
                <w:sz w:val="22"/>
                <w:szCs w:val="22"/>
                <w:lang w:val="es-EC"/>
              </w:rPr>
              <w:t>No</w:t>
            </w:r>
          </w:p>
          <w:p>
            <w:pPr>
              <w:numPr>
                <w:ilvl w:val="0"/>
                <w:numId w:val="90"/>
              </w:numPr>
              <w:spacing w:before="120" w:after="120"/>
              <w:ind w:left="709" w:hanging="709"/>
              <w:jc w:val="both"/>
              <w:rPr>
                <w:b/>
                <w:sz w:val="22"/>
                <w:szCs w:val="22"/>
                <w:lang w:val="es-ES"/>
              </w:rPr>
            </w:pPr>
            <w:r>
              <w:rPr>
                <w:sz w:val="22"/>
                <w:szCs w:val="22"/>
                <w:lang w:val="es-ES"/>
              </w:rPr>
              <w:t>El rendimiento y la productividad de los equipos ofrecidos: No</w:t>
            </w:r>
          </w:p>
        </w:tc>
      </w:tr>
      <w:tr>
        <w:trPr>
          <w:trHeight w:val="596"/>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pPr>
              <w:tabs>
                <w:tab w:val="right" w:pos="7254"/>
              </w:tabs>
              <w:spacing w:before="120" w:after="120"/>
              <w:jc w:val="center"/>
              <w:rPr>
                <w:sz w:val="22"/>
                <w:szCs w:val="22"/>
                <w:lang w:val="es-ES"/>
              </w:rPr>
            </w:pPr>
            <w:r>
              <w:rPr>
                <w:b/>
                <w:bCs/>
                <w:sz w:val="22"/>
                <w:szCs w:val="22"/>
                <w:lang w:val="es-ES"/>
              </w:rPr>
              <w:t>F. Adjudicación del Contrato</w:t>
            </w:r>
          </w:p>
        </w:tc>
      </w:tr>
      <w:tr>
        <w:tc>
          <w:tcPr>
            <w:tcW w:w="873" w:type="pct"/>
            <w:tcBorders>
              <w:top w:val="single" w:sz="2" w:space="0" w:color="000000"/>
              <w:left w:val="double" w:sz="4" w:space="0" w:color="auto"/>
              <w:bottom w:val="single" w:sz="2" w:space="0" w:color="000000"/>
              <w:right w:val="single" w:sz="8" w:space="0" w:color="000000"/>
            </w:tcBorders>
          </w:tcPr>
          <w:p>
            <w:pPr>
              <w:spacing w:before="120"/>
              <w:rPr>
                <w:b/>
                <w:sz w:val="22"/>
                <w:szCs w:val="22"/>
                <w:lang w:val="es-ES"/>
              </w:rPr>
            </w:pPr>
            <w:r>
              <w:rPr>
                <w:b/>
                <w:bCs/>
                <w:sz w:val="22"/>
                <w:szCs w:val="22"/>
                <w:lang w:val="es-ES"/>
              </w:rPr>
              <w:t>IAO 40.1</w:t>
            </w:r>
          </w:p>
        </w:tc>
        <w:tc>
          <w:tcPr>
            <w:tcW w:w="4127" w:type="pct"/>
            <w:gridSpan w:val="2"/>
            <w:tcBorders>
              <w:top w:val="single" w:sz="2" w:space="0" w:color="000000"/>
              <w:left w:val="nil"/>
              <w:bottom w:val="single" w:sz="2" w:space="0" w:color="000000"/>
              <w:right w:val="double" w:sz="4" w:space="0" w:color="auto"/>
            </w:tcBorders>
          </w:tcPr>
          <w:p>
            <w:pPr>
              <w:tabs>
                <w:tab w:val="right" w:pos="7254"/>
              </w:tabs>
              <w:spacing w:before="120" w:after="120"/>
              <w:jc w:val="both"/>
              <w:rPr>
                <w:b/>
                <w:sz w:val="22"/>
                <w:szCs w:val="22"/>
                <w:lang w:val="es-ES"/>
              </w:rPr>
            </w:pPr>
            <w:r>
              <w:rPr>
                <w:sz w:val="22"/>
                <w:szCs w:val="22"/>
                <w:lang w:val="es-ES"/>
              </w:rPr>
              <w:t>Las cantidades podrán aumentarse, como máximo, en un 0%.</w:t>
            </w:r>
          </w:p>
          <w:p>
            <w:pPr>
              <w:tabs>
                <w:tab w:val="right" w:pos="7254"/>
              </w:tabs>
              <w:spacing w:before="120" w:after="120"/>
              <w:jc w:val="both"/>
              <w:rPr>
                <w:sz w:val="22"/>
                <w:szCs w:val="22"/>
                <w:lang w:val="es-ES"/>
              </w:rPr>
            </w:pPr>
            <w:r>
              <w:rPr>
                <w:sz w:val="22"/>
                <w:szCs w:val="22"/>
                <w:lang w:val="es-ES"/>
              </w:rPr>
              <w:t>Las cantidades podrán reducirse, como máximo, en un 0%.</w:t>
            </w:r>
          </w:p>
        </w:tc>
      </w:tr>
      <w:tr>
        <w:tc>
          <w:tcPr>
            <w:tcW w:w="873" w:type="pct"/>
            <w:tcBorders>
              <w:top w:val="single" w:sz="2" w:space="0" w:color="000000"/>
              <w:left w:val="double" w:sz="4" w:space="0" w:color="auto"/>
              <w:bottom w:val="single" w:sz="2" w:space="0" w:color="000000"/>
              <w:right w:val="single" w:sz="8" w:space="0" w:color="000000"/>
            </w:tcBorders>
          </w:tcPr>
          <w:p>
            <w:pPr>
              <w:spacing w:before="120"/>
              <w:rPr>
                <w:b/>
                <w:sz w:val="22"/>
                <w:szCs w:val="22"/>
                <w:lang w:val="es-ES"/>
              </w:rPr>
            </w:pPr>
            <w:r>
              <w:rPr>
                <w:b/>
                <w:bCs/>
                <w:sz w:val="22"/>
                <w:szCs w:val="22"/>
                <w:lang w:val="es-ES"/>
              </w:rPr>
              <w:t>IAO 43.1</w:t>
            </w:r>
            <w:r>
              <w:rPr>
                <w:b/>
                <w:bCs/>
                <w:sz w:val="22"/>
                <w:szCs w:val="22"/>
                <w:lang w:val="es-ES"/>
              </w:rPr>
              <w:br/>
            </w:r>
            <w:r>
              <w:rPr>
                <w:b/>
                <w:sz w:val="22"/>
                <w:szCs w:val="22"/>
                <w:lang w:val="es-ES"/>
              </w:rPr>
              <w:t>Propiedad Efectiva</w:t>
            </w:r>
          </w:p>
        </w:tc>
        <w:tc>
          <w:tcPr>
            <w:tcW w:w="4127" w:type="pct"/>
            <w:gridSpan w:val="2"/>
            <w:tcBorders>
              <w:top w:val="single" w:sz="2" w:space="0" w:color="000000"/>
              <w:left w:val="nil"/>
              <w:bottom w:val="single" w:sz="2" w:space="0" w:color="000000"/>
              <w:right w:val="double" w:sz="4" w:space="0" w:color="auto"/>
            </w:tcBorders>
          </w:tcPr>
          <w:p>
            <w:pPr>
              <w:tabs>
                <w:tab w:val="right" w:pos="7254"/>
              </w:tabs>
              <w:spacing w:before="120" w:after="120"/>
              <w:jc w:val="both"/>
              <w:rPr>
                <w:sz w:val="22"/>
                <w:szCs w:val="22"/>
                <w:lang w:val="es-ES"/>
              </w:rPr>
            </w:pPr>
            <w:r>
              <w:rPr>
                <w:color w:val="000000" w:themeColor="text1"/>
                <w:sz w:val="22"/>
                <w:szCs w:val="22"/>
                <w:lang w:val="es-ES"/>
              </w:rPr>
              <w:t>El Oferente seleccionado no debe suministrar el Formulario de Divulgación de la Propiedad Efectiva.</w:t>
            </w:r>
          </w:p>
        </w:tc>
      </w:tr>
      <w:tr>
        <w:tc>
          <w:tcPr>
            <w:tcW w:w="873" w:type="pct"/>
            <w:tcBorders>
              <w:top w:val="single" w:sz="2" w:space="0" w:color="000000"/>
              <w:left w:val="double" w:sz="4" w:space="0" w:color="auto"/>
              <w:bottom w:val="single" w:sz="2" w:space="0" w:color="000000"/>
              <w:right w:val="single" w:sz="8" w:space="0" w:color="000000"/>
            </w:tcBorders>
          </w:tcPr>
          <w:p>
            <w:pPr>
              <w:spacing w:before="120"/>
              <w:rPr>
                <w:b/>
                <w:sz w:val="22"/>
                <w:szCs w:val="22"/>
                <w:lang w:val="es-ES"/>
              </w:rPr>
            </w:pPr>
            <w:r>
              <w:rPr>
                <w:b/>
                <w:bCs/>
                <w:sz w:val="22"/>
                <w:szCs w:val="22"/>
                <w:lang w:val="es-ES"/>
              </w:rPr>
              <w:t>IAO 45</w:t>
            </w:r>
            <w:r>
              <w:rPr>
                <w:b/>
                <w:bCs/>
                <w:sz w:val="22"/>
                <w:szCs w:val="22"/>
                <w:lang w:val="es-ES"/>
              </w:rPr>
              <w:br/>
              <w:t>Quejas relacionadas con Adquisiciones</w:t>
            </w:r>
          </w:p>
        </w:tc>
        <w:tc>
          <w:tcPr>
            <w:tcW w:w="4127" w:type="pct"/>
            <w:gridSpan w:val="2"/>
            <w:tcBorders>
              <w:top w:val="single" w:sz="2" w:space="0" w:color="000000"/>
              <w:left w:val="nil"/>
              <w:bottom w:val="single" w:sz="2" w:space="0" w:color="000000"/>
              <w:right w:val="double" w:sz="4" w:space="0" w:color="auto"/>
            </w:tcBorders>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sz w:val="22"/>
                <w:szCs w:val="22"/>
                <w:lang w:val="es-ES"/>
              </w:rPr>
            </w:pPr>
            <w:r>
              <w:rPr>
                <w:color w:val="212121"/>
                <w:sz w:val="22"/>
                <w:szCs w:val="22"/>
                <w:lang w:val="es-ES"/>
              </w:rPr>
              <w:t xml:space="preserve">Los procedimientos para presentar una queja relacionada con la adquisición se detallan en las Políticas para la Adquisición de Bienes y Obras Financiadas por el Banco Interamericano de Desarrollo GN-2349-15.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sz w:val="22"/>
                <w:szCs w:val="22"/>
                <w:lang w:val="es-ES"/>
              </w:rPr>
            </w:pPr>
            <w:r>
              <w:rPr>
                <w:color w:val="212121"/>
                <w:sz w:val="22"/>
                <w:szCs w:val="22"/>
                <w:lang w:val="es-ES"/>
              </w:rPr>
              <w:t>Si un Oferente desea presentar una queja relacionada con la adquisición, el Oferente deberá presentar su reclamación por escrito (por los medios más rápidos disponibles, que son correo electrónico), a:</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color w:val="212121"/>
                <w:sz w:val="22"/>
                <w:szCs w:val="22"/>
              </w:rPr>
            </w:pPr>
            <w:r>
              <w:rPr>
                <w:b/>
                <w:color w:val="212121"/>
                <w:sz w:val="22"/>
                <w:szCs w:val="22"/>
              </w:rPr>
              <w:t>A la atención de</w:t>
            </w:r>
            <w:r>
              <w:rPr>
                <w:color w:val="212121"/>
                <w:sz w:val="22"/>
                <w:szCs w:val="22"/>
              </w:rPr>
              <w:t>: César Filiberto Medina Llerena</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color w:val="212121"/>
                <w:sz w:val="22"/>
                <w:szCs w:val="22"/>
              </w:rPr>
            </w:pPr>
            <w:r>
              <w:rPr>
                <w:b/>
                <w:color w:val="212121"/>
                <w:sz w:val="22"/>
                <w:szCs w:val="22"/>
              </w:rPr>
              <w:t>Título / posición</w:t>
            </w:r>
            <w:r>
              <w:rPr>
                <w:color w:val="212121"/>
                <w:sz w:val="22"/>
                <w:szCs w:val="22"/>
              </w:rPr>
              <w:t xml:space="preserve">: Coordinador del EDG-PGE PROFIP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color w:val="212121"/>
                <w:sz w:val="22"/>
                <w:szCs w:val="22"/>
              </w:rPr>
            </w:pPr>
            <w:r>
              <w:rPr>
                <w:b/>
                <w:color w:val="212121"/>
                <w:sz w:val="22"/>
                <w:szCs w:val="22"/>
              </w:rPr>
              <w:t>Comprador</w:t>
            </w:r>
            <w:r>
              <w:rPr>
                <w:color w:val="212121"/>
                <w:sz w:val="22"/>
                <w:szCs w:val="22"/>
              </w:rPr>
              <w:t>: Procuraduría General del Estado</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color w:val="212121"/>
                <w:sz w:val="22"/>
                <w:szCs w:val="22"/>
                <w:lang w:val="es-ES"/>
              </w:rPr>
            </w:pPr>
            <w:r>
              <w:rPr>
                <w:b/>
                <w:color w:val="212121"/>
                <w:sz w:val="22"/>
                <w:szCs w:val="22"/>
              </w:rPr>
              <w:t xml:space="preserve">Dirección de correo electrónico: </w:t>
            </w:r>
            <w:hyperlink r:id="rId23" w:history="1">
              <w:r>
                <w:rPr>
                  <w:rStyle w:val="Hipervnculo"/>
                  <w:sz w:val="22"/>
                  <w:szCs w:val="22"/>
                </w:rPr>
                <w:t>cesar.medina@pge.gob.ec</w:t>
              </w:r>
            </w:hyperlink>
            <w:r>
              <w:rPr>
                <w:b/>
                <w:color w:val="212121"/>
                <w:sz w:val="22"/>
                <w:szCs w:val="22"/>
              </w:rPr>
              <w:t xml:space="preserve"> </w:t>
            </w:r>
            <w:r>
              <w:rPr>
                <w:color w:val="212121"/>
                <w:sz w:val="22"/>
                <w:szCs w:val="22"/>
              </w:rPr>
              <w:t>y</w:t>
            </w:r>
            <w:r>
              <w:rPr>
                <w:b/>
                <w:color w:val="212121"/>
                <w:sz w:val="22"/>
                <w:szCs w:val="22"/>
              </w:rPr>
              <w:t xml:space="preserve"> </w:t>
            </w:r>
            <w:hyperlink r:id="rId24" w:history="1">
              <w:r>
                <w:rPr>
                  <w:rStyle w:val="Hipervnculo"/>
                  <w:sz w:val="22"/>
                  <w:szCs w:val="22"/>
                </w:rPr>
                <w:t>profip@pge.gob.ec</w:t>
              </w:r>
            </w:hyperlink>
          </w:p>
        </w:tc>
      </w:tr>
    </w:tbl>
    <w:p>
      <w:pPr>
        <w:pStyle w:val="SectionVHeader"/>
        <w:ind w:right="288"/>
        <w:jc w:val="left"/>
        <w:rPr>
          <w:rFonts w:ascii="Times New Roman" w:hAnsi="Times New Roman"/>
          <w:sz w:val="24"/>
          <w:szCs w:val="24"/>
          <w:lang w:val="es-ES"/>
        </w:rPr>
        <w:sectPr>
          <w:headerReference w:type="even" r:id="rId25"/>
          <w:headerReference w:type="default" r:id="rId26"/>
          <w:headerReference w:type="first" r:id="rId27"/>
          <w:footnotePr>
            <w:numRestart w:val="eachSect"/>
          </w:footnotePr>
          <w:pgSz w:w="11906" w:h="16838" w:code="9"/>
          <w:pgMar w:top="1440" w:right="1440" w:bottom="1440" w:left="1440" w:header="851" w:footer="720" w:gutter="0"/>
          <w:paperSrc w:first="15" w:other="15"/>
          <w:cols w:space="720"/>
          <w:docGrid w:linePitch="326"/>
        </w:sectPr>
      </w:pPr>
    </w:p>
    <w:p>
      <w:pPr>
        <w:pStyle w:val="Secciones"/>
        <w:rPr>
          <w:rFonts w:ascii="Times New Roman" w:hAnsi="Times New Roman"/>
        </w:rPr>
      </w:pPr>
      <w:bookmarkStart w:id="439" w:name="_Toc438266925"/>
      <w:bookmarkStart w:id="440" w:name="_Toc438267899"/>
      <w:bookmarkStart w:id="441" w:name="_Toc438366666"/>
      <w:bookmarkStart w:id="442" w:name="_Toc41971240"/>
      <w:bookmarkStart w:id="443" w:name="_Toc450041028"/>
      <w:bookmarkStart w:id="444" w:name="_Toc175256924"/>
      <w:r>
        <w:rPr>
          <w:rFonts w:ascii="Times New Roman" w:hAnsi="Times New Roman"/>
        </w:rPr>
        <w:lastRenderedPageBreak/>
        <w:t xml:space="preserve">Sección III. Criterios de </w:t>
      </w:r>
      <w:bookmarkEnd w:id="439"/>
      <w:bookmarkEnd w:id="440"/>
      <w:bookmarkEnd w:id="441"/>
      <w:bookmarkEnd w:id="442"/>
      <w:bookmarkEnd w:id="443"/>
      <w:r>
        <w:rPr>
          <w:rFonts w:ascii="Times New Roman" w:hAnsi="Times New Roman"/>
        </w:rPr>
        <w:t>Evaluación y Calificación</w:t>
      </w:r>
      <w:bookmarkEnd w:id="444"/>
    </w:p>
    <w:p>
      <w:pPr>
        <w:pStyle w:val="Ttulo2"/>
        <w:ind w:left="0" w:right="0" w:firstLine="0"/>
        <w:jc w:val="left"/>
        <w:rPr>
          <w:rFonts w:ascii="Times New Roman" w:hAnsi="Times New Roman" w:cs="Times New Roman"/>
          <w:lang w:val="es-ES"/>
        </w:rPr>
      </w:pPr>
    </w:p>
    <w:p>
      <w:pPr>
        <w:jc w:val="both"/>
        <w:rPr>
          <w:sz w:val="22"/>
          <w:szCs w:val="22"/>
          <w:lang w:val="es-ES"/>
        </w:rPr>
      </w:pPr>
      <w:r>
        <w:rPr>
          <w:sz w:val="22"/>
          <w:szCs w:val="22"/>
          <w:lang w:val="es-ES"/>
        </w:rPr>
        <w:t xml:space="preserve">Esta Sección contiene todos los criterios que el Comprador aplicará para evaluar las Ofertas y calificar a los Oferentes cuando se requiera esa calificación en la evaluación técnica de la Parte Técnica. </w:t>
      </w:r>
      <w:r>
        <w:rPr>
          <w:color w:val="000000" w:themeColor="text1"/>
          <w:sz w:val="22"/>
          <w:szCs w:val="22"/>
          <w:lang w:val="es-ES"/>
        </w:rPr>
        <w:t xml:space="preserve">No se emplearán factores, métodos ni criterios que no se encuentren especificados en la presente Sección de este Documento de Licitación. </w:t>
      </w:r>
    </w:p>
    <w:p>
      <w:pPr>
        <w:pStyle w:val="Ttulo2"/>
        <w:numPr>
          <w:ilvl w:val="0"/>
          <w:numId w:val="85"/>
        </w:numPr>
        <w:jc w:val="both"/>
        <w:rPr>
          <w:rFonts w:ascii="Times New Roman" w:hAnsi="Times New Roman" w:cs="Times New Roman"/>
          <w:color w:val="000000"/>
          <w:sz w:val="22"/>
          <w:szCs w:val="22"/>
          <w:lang w:val="es-ES"/>
        </w:rPr>
      </w:pPr>
      <w:bookmarkStart w:id="445" w:name="_Toc454620965"/>
      <w:bookmarkStart w:id="446" w:name="_Toc486938883"/>
      <w:bookmarkStart w:id="447" w:name="_Toc432229721"/>
      <w:bookmarkStart w:id="448" w:name="_Toc432663719"/>
      <w:bookmarkStart w:id="449" w:name="_Toc433224150"/>
      <w:bookmarkStart w:id="450" w:name="_Toc435519254"/>
      <w:bookmarkStart w:id="451" w:name="_Toc435624889"/>
      <w:r>
        <w:rPr>
          <w:rFonts w:ascii="Times New Roman" w:hAnsi="Times New Roman" w:cs="Times New Roman"/>
          <w:color w:val="000000"/>
          <w:sz w:val="22"/>
          <w:szCs w:val="22"/>
          <w:lang w:val="es-ES"/>
        </w:rPr>
        <w:t>Margen de Preferencia (IAO 34)</w:t>
      </w:r>
      <w:bookmarkEnd w:id="445"/>
      <w:bookmarkEnd w:id="446"/>
      <w:r>
        <w:rPr>
          <w:rFonts w:ascii="Times New Roman" w:hAnsi="Times New Roman" w:cs="Times New Roman"/>
          <w:color w:val="000000"/>
          <w:sz w:val="22"/>
          <w:szCs w:val="22"/>
          <w:lang w:val="es-ES"/>
        </w:rPr>
        <w:t xml:space="preserve"> </w:t>
      </w:r>
      <w:r>
        <w:rPr>
          <w:rFonts w:ascii="Times New Roman" w:hAnsi="Times New Roman" w:cs="Times New Roman"/>
          <w:color w:val="000000"/>
          <w:sz w:val="22"/>
          <w:szCs w:val="22"/>
        </w:rPr>
        <w:t>NO APLICA</w:t>
      </w:r>
    </w:p>
    <w:p>
      <w:pPr>
        <w:pStyle w:val="Ttulo2"/>
        <w:ind w:left="0"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Si los Datos de la Licitación (DDL) así lo indican, y con el propósito de comparar las Ofertas, el Comprador otorgará un margen de preferencia a los bienes fabricados en el País del Comprador, de acuerdo con los procedimientos descritos en los siguientes párrafos.</w:t>
      </w:r>
    </w:p>
    <w:p>
      <w:pPr>
        <w:pStyle w:val="Ttulo2"/>
        <w:ind w:left="0"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Las Ofertas que cumplan sustancialmente con los requisitos se clasificarán en uno de los tres grupos siguientes:</w:t>
      </w:r>
    </w:p>
    <w:p>
      <w:pPr>
        <w:pStyle w:val="Ttulo2"/>
        <w:ind w:left="851" w:hanging="567"/>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(a)</w:t>
      </w:r>
      <w:r>
        <w:rPr>
          <w:rFonts w:ascii="Times New Roman" w:hAnsi="Times New Roman" w:cs="Times New Roman"/>
          <w:b w:val="0"/>
          <w:bCs w:val="0"/>
          <w:color w:val="000000"/>
          <w:sz w:val="22"/>
          <w:szCs w:val="22"/>
          <w:lang w:val="es-ES"/>
        </w:rPr>
        <w:tab/>
        <w:t>Grupo A: las Ofertas de bienes fabricados en el País del Comprador, cuando: (i) la mano de obra, las materias primas y los componentes provenientes del país del Comprador representen más del 30 % (treinta por ciento) del precio EXW, y (ii) el establecimiento donde se fabricarán o ensamblarán se ha dedicado a la fabricación o ensamblaje de esos bienes por lo menos a partir de la fecha de la presentación de la Oferta.</w:t>
      </w:r>
    </w:p>
    <w:p>
      <w:pPr>
        <w:pStyle w:val="Ttulo2"/>
        <w:ind w:left="851" w:hanging="567"/>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(b)</w:t>
      </w:r>
      <w:r>
        <w:rPr>
          <w:rFonts w:ascii="Times New Roman" w:hAnsi="Times New Roman" w:cs="Times New Roman"/>
          <w:b w:val="0"/>
          <w:bCs w:val="0"/>
          <w:color w:val="000000"/>
          <w:sz w:val="22"/>
          <w:szCs w:val="22"/>
          <w:lang w:val="es-ES"/>
        </w:rPr>
        <w:tab/>
        <w:t>Grupo B: todas las demás Ofertas de Bienes fabricados en el país del Comprador.</w:t>
      </w:r>
    </w:p>
    <w:p>
      <w:pPr>
        <w:pStyle w:val="Ttulo2"/>
        <w:ind w:left="851" w:hanging="567"/>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color w:val="000000"/>
          <w:sz w:val="22"/>
          <w:szCs w:val="22"/>
          <w:lang w:val="es-ES"/>
        </w:rPr>
        <w:t>(c)</w:t>
      </w:r>
      <w:r>
        <w:rPr>
          <w:rFonts w:ascii="Times New Roman" w:hAnsi="Times New Roman" w:cs="Times New Roman"/>
          <w:b w:val="0"/>
          <w:bCs w:val="0"/>
          <w:color w:val="000000"/>
          <w:sz w:val="22"/>
          <w:szCs w:val="22"/>
          <w:lang w:val="es-ES"/>
        </w:rPr>
        <w:tab/>
        <w:t>Grupo C: las Ofertas de Bienes de origen extranjero que ya se han importado o que han de importarse.</w:t>
      </w:r>
    </w:p>
    <w:p>
      <w:pPr>
        <w:pStyle w:val="Ttulo2"/>
        <w:ind w:left="0"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Con el propósito de facilitar esta clasificación al Comprador, el Oferente completará la versión correspondiente de las Listas de Precios incluidas en el Documento de Licitación, entendiéndose que, si presenta una versión incorrecta de la Lista de Precios, su Oferta no será rechazada, sino que el Comprador simplemente la reclasificará y colocará en el grupo apropiado.</w:t>
      </w:r>
    </w:p>
    <w:p>
      <w:pPr>
        <w:pStyle w:val="Ttulo2"/>
        <w:ind w:left="0"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El Comprador revisará primero las Ofertas para confirmar que corresponden al grupo en el que los Oferentes las clasificaron al momento de preparar sus Formularios de la Oferta y Listas de Precios, o para corregir dicha clasificación, si fuera necesario.</w:t>
      </w:r>
    </w:p>
    <w:p>
      <w:pPr>
        <w:pStyle w:val="Ttulo2"/>
        <w:ind w:left="0"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Posteriormente, se compararán las Ofertas de cada grupo para determinar cuál tiene el costo más bajo dentro del grupo y se compararán entre sí las que tengan el costo más bajo de cada grupo. Si de ello resulta que una Oferta del grupo A o del grupo B es la más baja, dicha Oferta será seleccionada para la adjudicación.</w:t>
      </w:r>
    </w:p>
    <w:p>
      <w:pPr>
        <w:pStyle w:val="Ttulo2"/>
        <w:ind w:left="0"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Si de la comparación precedente resulta que una Oferta del grupo C tiene el costo más bajo, todas las Ofertas del grupo C se compararán nuevamente con la Oferta con el costo evaluado más bajo del grupo A. Únicamente a los fines de la comparación, se sumará a los costos evaluados de los bienes de cada oferta del grupo C un monto equivalente al 15 % (quince por ciento) del precio total de la Oferta para bienes ya importados o que habrán de importarse sin incluir los impuestos de aduana y otros impuestos aplicables por efectos de importación. Ambos precios deberán incluir los descuentos incondicionales y la corrección de errores aritméticos. Si la Oferta del grupo A es la más baja, se la </w:t>
      </w:r>
      <w:r>
        <w:rPr>
          <w:rFonts w:ascii="Times New Roman" w:hAnsi="Times New Roman" w:cs="Times New Roman"/>
          <w:b w:val="0"/>
          <w:bCs w:val="0"/>
          <w:color w:val="000000"/>
          <w:sz w:val="22"/>
          <w:szCs w:val="22"/>
          <w:lang w:val="es-ES"/>
        </w:rPr>
        <w:lastRenderedPageBreak/>
        <w:t xml:space="preserve">seleccionará para la adjudicación. En caso contrario, se seleccionará la Oferta con el costo evaluado más bajo del grupo C. </w:t>
      </w:r>
    </w:p>
    <w:p>
      <w:pPr>
        <w:pStyle w:val="Ttulo2"/>
        <w:numPr>
          <w:ilvl w:val="0"/>
          <w:numId w:val="85"/>
        </w:numPr>
        <w:jc w:val="both"/>
        <w:rPr>
          <w:rFonts w:ascii="Times New Roman" w:hAnsi="Times New Roman" w:cs="Times New Roman"/>
          <w:color w:val="000000"/>
          <w:sz w:val="22"/>
          <w:szCs w:val="22"/>
          <w:lang w:val="es-ES"/>
        </w:rPr>
      </w:pPr>
      <w:r>
        <w:rPr>
          <w:rFonts w:ascii="Times New Roman" w:hAnsi="Times New Roman" w:cs="Times New Roman"/>
          <w:color w:val="000000"/>
          <w:sz w:val="22"/>
          <w:szCs w:val="22"/>
          <w:lang w:val="es-ES"/>
        </w:rPr>
        <w:t>Oferta Más Ventajosa</w:t>
      </w:r>
    </w:p>
    <w:p>
      <w:pPr>
        <w:pStyle w:val="Ttulo2"/>
        <w:ind w:left="0"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El Comprador utilizará los criterios y las metodologías enumerados en las secciones 3 y 4 a continuación para determinar la Oferta Más Ventajosa. La Oferta Más Ventajosa es aquella que cumple con los criterios de calificación y que:</w:t>
      </w:r>
    </w:p>
    <w:p>
      <w:pPr>
        <w:pStyle w:val="Ttulo2"/>
        <w:numPr>
          <w:ilvl w:val="0"/>
          <w:numId w:val="84"/>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se ajusta sustancialmente al documento de licitación, y</w:t>
      </w:r>
    </w:p>
    <w:p>
      <w:pPr>
        <w:pStyle w:val="Ttulo2"/>
        <w:numPr>
          <w:ilvl w:val="0"/>
          <w:numId w:val="84"/>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tiene el costo evaluado más bajo.</w:t>
      </w:r>
    </w:p>
    <w:p>
      <w:pPr>
        <w:pStyle w:val="Ttulo2"/>
        <w:numPr>
          <w:ilvl w:val="0"/>
          <w:numId w:val="85"/>
        </w:numPr>
        <w:jc w:val="both"/>
        <w:rPr>
          <w:rFonts w:ascii="Times New Roman" w:hAnsi="Times New Roman" w:cs="Times New Roman"/>
          <w:color w:val="000000"/>
          <w:sz w:val="22"/>
          <w:szCs w:val="22"/>
          <w:lang w:val="es-ES"/>
        </w:rPr>
      </w:pPr>
      <w:bookmarkStart w:id="452" w:name="_Toc454620966"/>
      <w:bookmarkStart w:id="453" w:name="_Toc486938884"/>
      <w:r>
        <w:rPr>
          <w:rFonts w:ascii="Times New Roman" w:hAnsi="Times New Roman" w:cs="Times New Roman"/>
          <w:color w:val="000000"/>
          <w:sz w:val="22"/>
          <w:szCs w:val="22"/>
          <w:lang w:val="es-ES"/>
        </w:rPr>
        <w:t>Evaluación (IAO 34)</w:t>
      </w:r>
      <w:bookmarkEnd w:id="452"/>
      <w:bookmarkEnd w:id="453"/>
    </w:p>
    <w:p>
      <w:pPr>
        <w:pStyle w:val="Ttulo2"/>
        <w:numPr>
          <w:ilvl w:val="1"/>
          <w:numId w:val="85"/>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Criterios de evaluación (IAO 34.6)</w:t>
      </w:r>
    </w:p>
    <w:p>
      <w:pPr>
        <w:pStyle w:val="Ttulo2"/>
        <w:ind w:left="360"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Al evaluar el costo de una Oferta, el Comprador podrá considerar, además del precio cotizado de conformidad con la IAO 15, uno o más de los siguientes factores estipulados en la IAO 34.2 (g) y en los DDL que remiten a la IAO 34.6, aplicando los métodos y criterios indicados a continuación. </w:t>
      </w:r>
    </w:p>
    <w:p>
      <w:pPr>
        <w:pStyle w:val="Ttulo2"/>
        <w:numPr>
          <w:ilvl w:val="0"/>
          <w:numId w:val="86"/>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Calendario de entregas (según el código de Incoterms indicado en los DDL): </w:t>
      </w:r>
      <w:r>
        <w:rPr>
          <w:rFonts w:ascii="Times New Roman" w:hAnsi="Times New Roman" w:cs="Times New Roman"/>
          <w:color w:val="000000"/>
          <w:sz w:val="22"/>
          <w:szCs w:val="22"/>
        </w:rPr>
        <w:t>NO APLICA</w:t>
      </w:r>
    </w:p>
    <w:p>
      <w:pPr>
        <w:pStyle w:val="Ttulo2"/>
        <w:ind w:left="709" w:firstLine="0"/>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i/>
          <w:iCs/>
          <w:color w:val="000000"/>
          <w:sz w:val="22"/>
          <w:szCs w:val="22"/>
          <w:lang w:val="es-ES"/>
        </w:rPr>
        <w:t>Los Bienes detallados en la Lista de Bienes deberán entregarse dentro del plazo aceptable estipulado en la Sección VI, “Requisitos de los Bienes y Servicios Conexos” (después de la fecha más temprana y antes de la fecha final, incluyendo ambas fechas). No se otorgará crédito por entregas anteriores a la fecha más temprana y se considerará que las Ofertas con propuestas de entrega posteriores a la fecha final no cumplen con lo solicitado. Dentro de este plazo aceptable, se adicionará, solamente a los fines de la evaluación, un ajuste de [indique el factor de ajuste correspondiente] al Precio de la Oferta para las Ofertas que propongan entregas después de la “Primera Fecha de Entrega” indicada en la Sección VI, “Requisitos de los Bienes y Servicios Conexos”.</w:t>
      </w:r>
    </w:p>
    <w:p>
      <w:pPr>
        <w:pStyle w:val="Ttulo2"/>
        <w:numPr>
          <w:ilvl w:val="0"/>
          <w:numId w:val="86"/>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Desviación en el calendario de pagos: </w:t>
      </w:r>
      <w:r>
        <w:rPr>
          <w:rFonts w:ascii="Times New Roman" w:hAnsi="Times New Roman" w:cs="Times New Roman"/>
          <w:color w:val="000000"/>
          <w:sz w:val="22"/>
          <w:szCs w:val="22"/>
        </w:rPr>
        <w:t>NO APLICA</w:t>
      </w:r>
    </w:p>
    <w:p>
      <w:pPr>
        <w:pStyle w:val="Ttulo2"/>
        <w:ind w:left="360"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w:t>
      </w:r>
      <w:r>
        <w:rPr>
          <w:rFonts w:ascii="Times New Roman" w:hAnsi="Times New Roman" w:cs="Times New Roman"/>
          <w:b w:val="0"/>
          <w:bCs w:val="0"/>
          <w:i/>
          <w:iCs/>
          <w:color w:val="000000"/>
          <w:sz w:val="22"/>
          <w:szCs w:val="22"/>
          <w:lang w:val="es-ES"/>
        </w:rPr>
        <w:t>Seleccione e introduzca uno de los siguientes párrafos</w:t>
      </w:r>
      <w:r>
        <w:rPr>
          <w:rFonts w:ascii="Times New Roman" w:hAnsi="Times New Roman" w:cs="Times New Roman"/>
          <w:b w:val="0"/>
          <w:bCs w:val="0"/>
          <w:color w:val="000000"/>
          <w:sz w:val="22"/>
          <w:szCs w:val="22"/>
          <w:lang w:val="es-ES"/>
        </w:rPr>
        <w:t>].</w:t>
      </w:r>
    </w:p>
    <w:p>
      <w:pPr>
        <w:pStyle w:val="Ttulo2"/>
        <w:ind w:left="1276" w:hanging="578"/>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(i)</w:t>
      </w:r>
      <w:r>
        <w:rPr>
          <w:rFonts w:ascii="Times New Roman" w:hAnsi="Times New Roman" w:cs="Times New Roman"/>
          <w:b w:val="0"/>
          <w:bCs w:val="0"/>
          <w:color w:val="000000"/>
          <w:sz w:val="22"/>
          <w:szCs w:val="22"/>
          <w:lang w:val="es-ES"/>
        </w:rPr>
        <w:tab/>
      </w:r>
      <w:r>
        <w:rPr>
          <w:rFonts w:ascii="Times New Roman" w:hAnsi="Times New Roman" w:cs="Times New Roman"/>
          <w:b w:val="0"/>
          <w:bCs w:val="0"/>
          <w:i/>
          <w:iCs/>
          <w:color w:val="000000"/>
          <w:sz w:val="22"/>
          <w:szCs w:val="22"/>
          <w:lang w:val="es-ES"/>
        </w:rPr>
        <w:t>Los Oferentes cotizarán el precio de su Oferta de acuerdo con el plan de pagos establecido en las CEC. Las Ofertas se evaluarán sobre la base de este precio. Sin embargo, los Oferentes podrán ofrecer un calendario de pagos alternativo e indicar qué reducción de precios desean ofrecer por dicho calendario. El Comprador podrá considerar el calendario de pagos alternativo y el precio reducido de la Oferta ofrecido por el Oferente seleccionado en función del precio base correspondiente al calendario de pagos que figura en las CEC.</w:t>
      </w:r>
    </w:p>
    <w:p>
      <w:pPr>
        <w:pStyle w:val="Ttulo2"/>
        <w:ind w:left="1276" w:hanging="578"/>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i/>
          <w:iCs/>
          <w:color w:val="000000"/>
          <w:sz w:val="22"/>
          <w:szCs w:val="22"/>
          <w:lang w:val="es-ES"/>
        </w:rPr>
        <w:t>O bien</w:t>
      </w:r>
    </w:p>
    <w:p>
      <w:pPr>
        <w:pStyle w:val="Ttulo2"/>
        <w:ind w:left="1276" w:hanging="578"/>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color w:val="000000"/>
          <w:sz w:val="22"/>
          <w:szCs w:val="22"/>
          <w:lang w:val="es-ES"/>
        </w:rPr>
        <w:t>(ii)</w:t>
      </w:r>
      <w:r>
        <w:rPr>
          <w:rFonts w:ascii="Times New Roman" w:hAnsi="Times New Roman" w:cs="Times New Roman"/>
          <w:b w:val="0"/>
          <w:bCs w:val="0"/>
          <w:color w:val="000000"/>
          <w:sz w:val="22"/>
          <w:szCs w:val="22"/>
          <w:lang w:val="es-ES"/>
        </w:rPr>
        <w:tab/>
      </w:r>
      <w:r>
        <w:rPr>
          <w:rFonts w:ascii="Times New Roman" w:hAnsi="Times New Roman" w:cs="Times New Roman"/>
          <w:b w:val="0"/>
          <w:bCs w:val="0"/>
          <w:i/>
          <w:iCs/>
          <w:color w:val="000000"/>
          <w:sz w:val="22"/>
          <w:szCs w:val="22"/>
          <w:lang w:val="es-ES"/>
        </w:rPr>
        <w:t>En las CEC se estipula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estipulados en las CEC, a una tasa anual del [inserte la tasa de ajuste correspondiente].</w:t>
      </w:r>
    </w:p>
    <w:p>
      <w:pPr>
        <w:pStyle w:val="Ttulo2"/>
        <w:numPr>
          <w:ilvl w:val="0"/>
          <w:numId w:val="86"/>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Costo de reemplazo de componentes importantes, repuestos obligatorios y servicio: [</w:t>
      </w:r>
      <w:r>
        <w:rPr>
          <w:rFonts w:ascii="Times New Roman" w:hAnsi="Times New Roman" w:cs="Times New Roman"/>
          <w:b w:val="0"/>
          <w:bCs w:val="0"/>
          <w:i/>
          <w:iCs/>
          <w:color w:val="000000"/>
          <w:sz w:val="22"/>
          <w:szCs w:val="22"/>
          <w:lang w:val="es-ES"/>
        </w:rPr>
        <w:t>Seleccione e introduzca uno de los siguientes párrafos</w:t>
      </w:r>
      <w:r>
        <w:rPr>
          <w:rFonts w:ascii="Times New Roman" w:hAnsi="Times New Roman" w:cs="Times New Roman"/>
          <w:b w:val="0"/>
          <w:bCs w:val="0"/>
          <w:color w:val="000000"/>
          <w:sz w:val="22"/>
          <w:szCs w:val="22"/>
          <w:lang w:val="es-ES"/>
        </w:rPr>
        <w:t xml:space="preserve">]. </w:t>
      </w:r>
      <w:r>
        <w:rPr>
          <w:rFonts w:ascii="Times New Roman" w:hAnsi="Times New Roman" w:cs="Times New Roman"/>
          <w:color w:val="000000"/>
          <w:sz w:val="22"/>
          <w:szCs w:val="22"/>
        </w:rPr>
        <w:t>NO APLICA</w:t>
      </w:r>
    </w:p>
    <w:p>
      <w:pPr>
        <w:pStyle w:val="Ttulo2"/>
        <w:ind w:left="1276" w:hanging="556"/>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color w:val="000000"/>
          <w:sz w:val="22"/>
          <w:szCs w:val="22"/>
          <w:lang w:val="es-ES"/>
        </w:rPr>
        <w:t>(i)</w:t>
      </w:r>
      <w:r>
        <w:rPr>
          <w:rFonts w:ascii="Times New Roman" w:hAnsi="Times New Roman" w:cs="Times New Roman"/>
          <w:b w:val="0"/>
          <w:bCs w:val="0"/>
          <w:color w:val="000000"/>
          <w:sz w:val="22"/>
          <w:szCs w:val="22"/>
          <w:lang w:val="es-ES"/>
        </w:rPr>
        <w:tab/>
      </w:r>
      <w:r>
        <w:rPr>
          <w:rFonts w:ascii="Times New Roman" w:hAnsi="Times New Roman" w:cs="Times New Roman"/>
          <w:b w:val="0"/>
          <w:bCs w:val="0"/>
          <w:i/>
          <w:iCs/>
          <w:color w:val="000000"/>
          <w:sz w:val="22"/>
          <w:szCs w:val="22"/>
          <w:lang w:val="es-ES"/>
        </w:rPr>
        <w:t xml:space="preserve">La lista de los artículos y las cantidades de piezas ensambladas, componentes y repuestos seleccionados importantes que posiblemente se necesiten durante el período inicial de funcionamiento especificado en la instrucción de los DDL referida a la IAO 17.4, se presenta en la Lista de Bienes. Solamente a los fines de la evaluación, se agregará al precio de la Oferta un ajuste equivalente al costo total de </w:t>
      </w:r>
      <w:r>
        <w:rPr>
          <w:rFonts w:ascii="Times New Roman" w:hAnsi="Times New Roman" w:cs="Times New Roman"/>
          <w:b w:val="0"/>
          <w:bCs w:val="0"/>
          <w:i/>
          <w:iCs/>
          <w:color w:val="000000"/>
          <w:sz w:val="22"/>
          <w:szCs w:val="22"/>
          <w:lang w:val="es-ES"/>
        </w:rPr>
        <w:lastRenderedPageBreak/>
        <w:t>estos artículos, calculado sobre la base de los precios unitarios cotizados en cada Oferta.</w:t>
      </w:r>
    </w:p>
    <w:p>
      <w:pPr>
        <w:pStyle w:val="Ttulo2"/>
        <w:ind w:left="1440"/>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i/>
          <w:iCs/>
          <w:color w:val="000000"/>
          <w:sz w:val="22"/>
          <w:szCs w:val="22"/>
          <w:lang w:val="es-ES"/>
        </w:rPr>
        <w:t>O bien</w:t>
      </w:r>
    </w:p>
    <w:p>
      <w:pPr>
        <w:pStyle w:val="Ttulo2"/>
        <w:ind w:left="1276" w:hanging="556"/>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(ii)</w:t>
      </w:r>
      <w:r>
        <w:rPr>
          <w:rFonts w:ascii="Times New Roman" w:hAnsi="Times New Roman" w:cs="Times New Roman"/>
          <w:b w:val="0"/>
          <w:bCs w:val="0"/>
          <w:color w:val="000000"/>
          <w:sz w:val="22"/>
          <w:szCs w:val="22"/>
          <w:lang w:val="es-ES"/>
        </w:rPr>
        <w:tab/>
      </w:r>
      <w:r>
        <w:rPr>
          <w:rFonts w:ascii="Times New Roman" w:hAnsi="Times New Roman" w:cs="Times New Roman"/>
          <w:b w:val="0"/>
          <w:bCs w:val="0"/>
          <w:i/>
          <w:iCs/>
          <w:color w:val="000000"/>
          <w:sz w:val="22"/>
          <w:szCs w:val="22"/>
          <w:lang w:val="es-ES"/>
        </w:rPr>
        <w:t>El Comprador preparará una lista de componentes y repuestos de alto valor y frecuencia de uso y estimará las cantidades de estos que utilizará durante el período inicial de funcionamiento de los bienes que se especifica en la instrucción de los DDL referida a la IAO 17.4. Solamente a los fines de la evaluación, el costo total de estos artículos y cantidades se calculará sobre la base de los precios unitarios de los repuestos cotizados por el Oferente y se agregará al precio de la Oferta.</w:t>
      </w:r>
    </w:p>
    <w:p>
      <w:pPr>
        <w:pStyle w:val="Ttulo2"/>
        <w:numPr>
          <w:ilvl w:val="0"/>
          <w:numId w:val="86"/>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Disponibilidad en el País del Comprador de repuestos y servicios posteriores a la venta para los equipos ofrecidos en la Oferta: </w:t>
      </w:r>
      <w:r>
        <w:rPr>
          <w:rFonts w:ascii="Times New Roman" w:hAnsi="Times New Roman" w:cs="Times New Roman"/>
          <w:color w:val="000000"/>
          <w:sz w:val="22"/>
          <w:szCs w:val="22"/>
        </w:rPr>
        <w:t>NO APLICA</w:t>
      </w:r>
    </w:p>
    <w:p>
      <w:pPr>
        <w:pStyle w:val="Ttulo2"/>
        <w:ind w:left="720" w:firstLine="0"/>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color w:val="000000"/>
          <w:sz w:val="22"/>
          <w:szCs w:val="22"/>
          <w:lang w:val="es-ES"/>
        </w:rPr>
        <w:t>Solamente a los fines de la evaluación, se sumará al precio de la Oferta un monto equivalente a lo que le costaría al Comprador el establecimiento de instalaciones de servicio y existencias de repuestos mínimas si la cotización se realizara por separado.</w:t>
      </w:r>
    </w:p>
    <w:p>
      <w:pPr>
        <w:pStyle w:val="Ttulo2"/>
        <w:numPr>
          <w:ilvl w:val="0"/>
          <w:numId w:val="86"/>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Costos durante la vida útil: </w:t>
      </w:r>
      <w:r>
        <w:rPr>
          <w:rFonts w:ascii="Times New Roman" w:hAnsi="Times New Roman" w:cs="Times New Roman"/>
          <w:color w:val="000000"/>
          <w:sz w:val="22"/>
          <w:szCs w:val="22"/>
        </w:rPr>
        <w:t>NO APLICA</w:t>
      </w:r>
    </w:p>
    <w:p>
      <w:pPr>
        <w:pStyle w:val="Ttulo2"/>
        <w:ind w:left="720"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Si así se especifica en la instrucción de los DDL referida a la IAO 34.6, se sumará al precio de la Oferta, para fines de evaluación solamente, un ajuste equivalente a los gastos adicionales en los que se incurra durante la vida útil de los Bienes a lo largo del período especificado a continuación, tales como el costo de operación y mantenimiento. El ajuste se evaluará de conformidad con la metodología establecida a continuación y la siguiente información:</w:t>
      </w:r>
    </w:p>
    <w:p>
      <w:pPr>
        <w:pStyle w:val="Ttulo2"/>
        <w:ind w:left="720" w:firstLine="0"/>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i/>
          <w:iCs/>
          <w:color w:val="000000"/>
          <w:sz w:val="22"/>
          <w:szCs w:val="22"/>
          <w:lang w:val="es-ES"/>
        </w:rPr>
        <w:t>[Nota al Comprador: Los costos correspondientes a la vida útil de los bienes deben utilizarse cuando se determine que los costos de operación o de mantenimiento en los que pueda incurrirse a lo largo de la vida útil especificada de los bienes son considerables en comparación con el costo inicial y pueden variar de una Oferta a otra. Los costos durante la vida útil se evaluarán a partir del valor neto actualizado. Si corresponde aplicar los costos durante la vida útil, especifique los factores que deben contemplarse para determinarlos a los efectos de la evaluación].</w:t>
      </w:r>
    </w:p>
    <w:p>
      <w:pPr>
        <w:pStyle w:val="Ttulo2"/>
        <w:ind w:left="720" w:firstLine="0"/>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i/>
          <w:iCs/>
          <w:color w:val="000000"/>
          <w:sz w:val="22"/>
          <w:szCs w:val="22"/>
          <w:lang w:val="es-ES"/>
        </w:rPr>
        <w:t>[Modifique el siguiente texto según corresponda o elimínelo si no corresponde aplicar los costos durante la vida útil].</w:t>
      </w:r>
    </w:p>
    <w:p>
      <w:pPr>
        <w:pStyle w:val="Ttulo2"/>
        <w:numPr>
          <w:ilvl w:val="2"/>
          <w:numId w:val="87"/>
        </w:numPr>
        <w:ind w:left="1276" w:hanging="567"/>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cantidad de años a los fines de la determinación de los costos durante la vida útil </w:t>
      </w:r>
      <w:r>
        <w:rPr>
          <w:rFonts w:ascii="Times New Roman" w:hAnsi="Times New Roman" w:cs="Times New Roman"/>
          <w:b w:val="0"/>
          <w:bCs w:val="0"/>
          <w:i/>
          <w:iCs/>
          <w:color w:val="000000"/>
          <w:sz w:val="22"/>
          <w:szCs w:val="22"/>
          <w:lang w:val="es-ES"/>
        </w:rPr>
        <w:t>[indique la cantidad de años]</w:t>
      </w:r>
      <w:r>
        <w:rPr>
          <w:rFonts w:ascii="Times New Roman" w:hAnsi="Times New Roman" w:cs="Times New Roman"/>
          <w:b w:val="0"/>
          <w:bCs w:val="0"/>
          <w:color w:val="000000"/>
          <w:sz w:val="22"/>
          <w:szCs w:val="22"/>
          <w:lang w:val="es-ES"/>
        </w:rPr>
        <w:t>;</w:t>
      </w:r>
    </w:p>
    <w:p>
      <w:pPr>
        <w:pStyle w:val="Ttulo2"/>
        <w:numPr>
          <w:ilvl w:val="2"/>
          <w:numId w:val="87"/>
        </w:numPr>
        <w:ind w:left="1276" w:hanging="567"/>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la tasa de descuento que debe aplicarse para determinar el valor neto actualizado de los futuros costos de operación y de mantenimiento (costos recurrentes) es </w:t>
      </w:r>
      <w:r>
        <w:rPr>
          <w:rFonts w:ascii="Times New Roman" w:hAnsi="Times New Roman" w:cs="Times New Roman"/>
          <w:b w:val="0"/>
          <w:bCs w:val="0"/>
          <w:i/>
          <w:iCs/>
          <w:color w:val="000000"/>
          <w:sz w:val="22"/>
          <w:szCs w:val="22"/>
          <w:lang w:val="es-ES"/>
        </w:rPr>
        <w:t>[indique la tasa de descuento]</w:t>
      </w:r>
      <w:r>
        <w:rPr>
          <w:rFonts w:ascii="Times New Roman" w:hAnsi="Times New Roman" w:cs="Times New Roman"/>
          <w:b w:val="0"/>
          <w:bCs w:val="0"/>
          <w:color w:val="000000"/>
          <w:sz w:val="22"/>
          <w:szCs w:val="22"/>
          <w:lang w:val="es-ES"/>
        </w:rPr>
        <w:t>;</w:t>
      </w:r>
    </w:p>
    <w:p>
      <w:pPr>
        <w:pStyle w:val="Ttulo2"/>
        <w:numPr>
          <w:ilvl w:val="2"/>
          <w:numId w:val="87"/>
        </w:numPr>
        <w:ind w:left="1276" w:hanging="567"/>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los costos de operación y de mantenimiento anuales (costos recurrentes) se determinarán mediante la siguiente metodología: </w:t>
      </w:r>
      <w:r>
        <w:rPr>
          <w:rFonts w:ascii="Times New Roman" w:hAnsi="Times New Roman" w:cs="Times New Roman"/>
          <w:b w:val="0"/>
          <w:bCs w:val="0"/>
          <w:i/>
          <w:iCs/>
          <w:color w:val="000000"/>
          <w:sz w:val="22"/>
          <w:szCs w:val="22"/>
          <w:lang w:val="es-ES"/>
        </w:rPr>
        <w:t>[indique la metodología]</w:t>
      </w:r>
      <w:r>
        <w:rPr>
          <w:rFonts w:ascii="Times New Roman" w:hAnsi="Times New Roman" w:cs="Times New Roman"/>
          <w:b w:val="0"/>
          <w:bCs w:val="0"/>
          <w:color w:val="000000"/>
          <w:sz w:val="22"/>
          <w:szCs w:val="22"/>
          <w:lang w:val="es-ES"/>
        </w:rPr>
        <w:t>;</w:t>
      </w:r>
    </w:p>
    <w:p>
      <w:pPr>
        <w:pStyle w:val="Ttulo2"/>
        <w:numPr>
          <w:ilvl w:val="2"/>
          <w:numId w:val="87"/>
        </w:numPr>
        <w:ind w:left="1276" w:hanging="567"/>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y se exige la siguiente información a los Oferentes </w:t>
      </w:r>
      <w:r>
        <w:rPr>
          <w:rFonts w:ascii="Times New Roman" w:hAnsi="Times New Roman" w:cs="Times New Roman"/>
          <w:b w:val="0"/>
          <w:bCs w:val="0"/>
          <w:i/>
          <w:iCs/>
          <w:color w:val="000000"/>
          <w:sz w:val="22"/>
          <w:szCs w:val="22"/>
          <w:lang w:val="es-ES"/>
        </w:rPr>
        <w:t>[incluya toda información que deban incluir los Oferentes, incluidos los precios]</w:t>
      </w:r>
      <w:r>
        <w:rPr>
          <w:rFonts w:ascii="Times New Roman" w:hAnsi="Times New Roman" w:cs="Times New Roman"/>
          <w:b w:val="0"/>
          <w:bCs w:val="0"/>
          <w:color w:val="000000"/>
          <w:sz w:val="22"/>
          <w:szCs w:val="22"/>
          <w:lang w:val="es-ES"/>
        </w:rPr>
        <w:t>.</w:t>
      </w:r>
    </w:p>
    <w:p>
      <w:pPr>
        <w:pStyle w:val="Ttulo2"/>
        <w:numPr>
          <w:ilvl w:val="0"/>
          <w:numId w:val="86"/>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Rendimiento y productividad de los equipos ofrecidos: [</w:t>
      </w:r>
      <w:r>
        <w:rPr>
          <w:rFonts w:ascii="Times New Roman" w:hAnsi="Times New Roman" w:cs="Times New Roman"/>
          <w:b w:val="0"/>
          <w:bCs w:val="0"/>
          <w:i/>
          <w:iCs/>
          <w:color w:val="000000"/>
          <w:sz w:val="22"/>
          <w:szCs w:val="22"/>
          <w:lang w:val="es-ES"/>
        </w:rPr>
        <w:t>Seleccione e introduzca uno de los siguientes párrafos</w:t>
      </w:r>
      <w:r>
        <w:rPr>
          <w:rFonts w:ascii="Times New Roman" w:hAnsi="Times New Roman" w:cs="Times New Roman"/>
          <w:b w:val="0"/>
          <w:bCs w:val="0"/>
          <w:color w:val="000000"/>
          <w:sz w:val="22"/>
          <w:szCs w:val="22"/>
          <w:lang w:val="es-ES"/>
        </w:rPr>
        <w:t xml:space="preserve">]. </w:t>
      </w:r>
      <w:r>
        <w:rPr>
          <w:rFonts w:ascii="Times New Roman" w:hAnsi="Times New Roman" w:cs="Times New Roman"/>
          <w:color w:val="000000"/>
          <w:sz w:val="22"/>
          <w:szCs w:val="22"/>
        </w:rPr>
        <w:t>NO APLICA</w:t>
      </w:r>
    </w:p>
    <w:p>
      <w:pPr>
        <w:pStyle w:val="Ttulo2"/>
        <w:ind w:left="1276" w:hanging="556"/>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(i)</w:t>
      </w:r>
      <w:r>
        <w:rPr>
          <w:rFonts w:ascii="Times New Roman" w:hAnsi="Times New Roman" w:cs="Times New Roman"/>
          <w:b w:val="0"/>
          <w:bCs w:val="0"/>
          <w:color w:val="000000"/>
          <w:sz w:val="22"/>
          <w:szCs w:val="22"/>
          <w:lang w:val="es-ES"/>
        </w:rPr>
        <w:tab/>
        <w:t xml:space="preserve">Rendimiento y productividad de los equipos ofrecidos. Solamente a los fines de la evaluación, se agregará al precio de la Oferta un ajuste representativo del valor capitalizado de costos de operación adicionales aplicables durante la vida útil de los bienes, si así se dispone en la instrucción de los DDL referida a la IAO 34.6. El ajuste se evaluará sobre la base de la disminución de la garantía de productividad o eficiencia </w:t>
      </w:r>
      <w:r>
        <w:rPr>
          <w:rFonts w:ascii="Times New Roman" w:hAnsi="Times New Roman" w:cs="Times New Roman"/>
          <w:b w:val="0"/>
          <w:bCs w:val="0"/>
          <w:color w:val="000000"/>
          <w:sz w:val="22"/>
          <w:szCs w:val="22"/>
          <w:lang w:val="es-ES"/>
        </w:rPr>
        <w:lastRenderedPageBreak/>
        <w:t>ofrecida en la Oferta que se encuentre por debajo de la norma de 100, utilizando la metodología que se establece a continuación.</w:t>
      </w:r>
    </w:p>
    <w:p>
      <w:pPr>
        <w:pStyle w:val="Ttulo2"/>
        <w:ind w:left="1276" w:firstLine="0"/>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i/>
          <w:iCs/>
          <w:color w:val="000000"/>
          <w:sz w:val="22"/>
          <w:szCs w:val="22"/>
          <w:lang w:val="es-ES"/>
        </w:rPr>
        <w:t>[Indique la metodología y los criterios, si corresponde].</w:t>
      </w:r>
    </w:p>
    <w:p>
      <w:pPr>
        <w:pStyle w:val="Ttulo2"/>
        <w:ind w:left="1440"/>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i/>
          <w:iCs/>
          <w:color w:val="000000"/>
          <w:sz w:val="22"/>
          <w:szCs w:val="22"/>
          <w:lang w:val="es-ES"/>
        </w:rPr>
        <w:t>[O bien]</w:t>
      </w:r>
    </w:p>
    <w:p>
      <w:pPr>
        <w:pStyle w:val="Ttulo2"/>
        <w:ind w:left="1276" w:hanging="556"/>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(ii)     Solamente a los fines de la evaluación, se agregará un ajuste al precio de la Oferta para tener en cuenta la productividad de los bienes cotizados en la Oferta, si así se dispone en la instrucción de los DDL referida a la IAO 34.6. El ajuste se evaluará sobre la base del costo por unidad de la productividad real de los bienes cotizados en la Oferta en relación con los valores mínimos requeridos, utilizando la metodología que se establece a continuación.</w:t>
      </w:r>
    </w:p>
    <w:p>
      <w:pPr>
        <w:pStyle w:val="Ttulo2"/>
        <w:ind w:left="1276" w:firstLine="0"/>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i/>
          <w:iCs/>
          <w:color w:val="000000"/>
          <w:sz w:val="22"/>
          <w:szCs w:val="22"/>
          <w:lang w:val="es-ES"/>
        </w:rPr>
        <w:t>[Indique la metodología y los criterios, si corresponde].</w:t>
      </w:r>
    </w:p>
    <w:p>
      <w:pPr>
        <w:pStyle w:val="Ttulo2"/>
        <w:numPr>
          <w:ilvl w:val="0"/>
          <w:numId w:val="86"/>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Criterios Específicos Adicionales </w:t>
      </w:r>
      <w:r>
        <w:rPr>
          <w:rFonts w:ascii="Times New Roman" w:hAnsi="Times New Roman" w:cs="Times New Roman"/>
          <w:color w:val="000000"/>
          <w:sz w:val="22"/>
          <w:szCs w:val="22"/>
        </w:rPr>
        <w:t>NO APLICA</w:t>
      </w:r>
    </w:p>
    <w:p>
      <w:pPr>
        <w:pStyle w:val="Ttulo2"/>
        <w:ind w:left="709" w:firstLine="0"/>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i/>
          <w:iCs/>
          <w:color w:val="000000"/>
          <w:sz w:val="22"/>
          <w:szCs w:val="22"/>
          <w:lang w:val="es-ES"/>
        </w:rPr>
        <w:tab/>
        <w:t>[En la instrucción de los DDL referida a la IAO 34.6 se detallarán otros criterios específicos que se tendrán en cuenta en la evaluación y el método de evaluación. Si en la Sección VI se han establecido requisitos técnicos específicos sobre adquisición sustentable, indique que (i) tales requisitos se evaluarán como aprobados / desaprobados (en función de su cumplimiento), o, de lo contrario, (ii) además de evaluar dichos requisitos como aprobados/desaprobados (en función de su cumplimiento), si corresponde, especifique los ajustes monetarios que deben aplicarse a los precios de la Oferta a los efectos de la comparación a cuenta de las Ofertas que superen los requisitos técnicos sobre adquisición sustentable mínimos especificados].</w:t>
      </w:r>
    </w:p>
    <w:p>
      <w:pPr>
        <w:pStyle w:val="Ttulo2"/>
        <w:numPr>
          <w:ilvl w:val="1"/>
          <w:numId w:val="85"/>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Contratos Múltiples (IAO 34.4) </w:t>
      </w:r>
      <w:r>
        <w:rPr>
          <w:rFonts w:ascii="Times New Roman" w:hAnsi="Times New Roman" w:cs="Times New Roman"/>
          <w:color w:val="000000"/>
          <w:sz w:val="22"/>
          <w:szCs w:val="22"/>
        </w:rPr>
        <w:t>NO APLICA</w:t>
      </w:r>
    </w:p>
    <w:p>
      <w:pPr>
        <w:pStyle w:val="Ttulo2"/>
        <w:ind w:left="426"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Si, de acuerdo con la IAO 1.1, se invita a la presentación de Ofertas para lotes individuales o para cualquier combinación de lotes, el contrato se adjudicará a los Oferentes que presenten la/s Oferta/s que cumplan sustancialmente con los requisitos y que ofrezcan el costo evaluado más bajo al Comprador para lotes combinados, después de considerar todas las combinaciones posibles de lotes, con sujeción al cumplimiento por parte de los Oferentes seleccionados de los criterios de calificación requeridos (en esta Sección III bajo los Criterios de Calificación) para un lote o una combinación de lotes, según sea el caso.</w:t>
      </w:r>
    </w:p>
    <w:p>
      <w:pPr>
        <w:pStyle w:val="Ttulo2"/>
        <w:ind w:left="426"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Al determinar el Oferente o los Oferentes que ofrecen al Comprador el costo total evaluado más bajo para lotes combinados, el Comprador aplicará los siguientes pasos en orden secuencial:</w:t>
      </w:r>
    </w:p>
    <w:p>
      <w:pPr>
        <w:pStyle w:val="Ttulo2"/>
        <w:numPr>
          <w:ilvl w:val="0"/>
          <w:numId w:val="163"/>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evaluación de lotes individuales para determinar las Ofertas que cumplen sustancialmente con los requisitos y los correspondientes costos evaluados;</w:t>
      </w:r>
    </w:p>
    <w:p>
      <w:pPr>
        <w:pStyle w:val="Ttulo2"/>
        <w:numPr>
          <w:ilvl w:val="0"/>
          <w:numId w:val="163"/>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para cada lote, clasificación de las Ofertas que cumplen sustancialmente con los requisitos, comenzando por el costo evaluado más bajo para el lote en cuestión;</w:t>
      </w:r>
    </w:p>
    <w:p>
      <w:pPr>
        <w:pStyle w:val="Ttulo2"/>
        <w:numPr>
          <w:ilvl w:val="0"/>
          <w:numId w:val="163"/>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aplicación a los costos evaluados enumerados en el inciso (b) de todo descuento/reducción de precio aplicable ofrecido por uno o más Oferentes para la adjudicación de contratos múltiples en función de los descuentos y la metodología para su aplicación que ofrece el Oferente correspondiente; </w:t>
      </w:r>
    </w:p>
    <w:p>
      <w:pPr>
        <w:pStyle w:val="Ttulo2"/>
        <w:numPr>
          <w:ilvl w:val="0"/>
          <w:numId w:val="163"/>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determinación de la adjudicación del contrato a partir de la combinación de lotes que ofrezcan al Comprador el costo total evaluado más bajo.</w:t>
      </w:r>
    </w:p>
    <w:p>
      <w:pPr>
        <w:pStyle w:val="Ttulo2"/>
        <w:numPr>
          <w:ilvl w:val="1"/>
          <w:numId w:val="85"/>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Ofertas Alternativas (IAO 14.1)</w:t>
      </w:r>
    </w:p>
    <w:p>
      <w:pPr>
        <w:pStyle w:val="Ttulo2"/>
        <w:ind w:left="426" w:firstLine="0"/>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i/>
          <w:iCs/>
          <w:color w:val="000000"/>
          <w:sz w:val="22"/>
          <w:szCs w:val="22"/>
          <w:lang w:val="es-ES"/>
        </w:rPr>
        <w:t xml:space="preserve">Una oferta Alternativa, si estuviera permitida de acuerdo con la IAO 14.1, se evaluará de la siguiente manera: </w:t>
      </w:r>
    </w:p>
    <w:p>
      <w:pPr>
        <w:pStyle w:val="Ttulo2"/>
        <w:ind w:left="426" w:hanging="66"/>
        <w:jc w:val="both"/>
        <w:rPr>
          <w:rFonts w:ascii="Times New Roman" w:hAnsi="Times New Roman" w:cs="Times New Roman"/>
          <w:b w:val="0"/>
          <w:bCs w:val="0"/>
          <w:i/>
          <w:color w:val="000000"/>
          <w:sz w:val="22"/>
          <w:szCs w:val="22"/>
          <w:lang w:val="es-ES"/>
        </w:rPr>
      </w:pPr>
      <w:r>
        <w:rPr>
          <w:rFonts w:ascii="Times New Roman" w:hAnsi="Times New Roman" w:cs="Times New Roman"/>
          <w:b w:val="0"/>
          <w:bCs w:val="0"/>
          <w:i/>
          <w:iCs/>
          <w:color w:val="000000"/>
          <w:sz w:val="22"/>
          <w:szCs w:val="22"/>
          <w:lang w:val="es-ES"/>
        </w:rPr>
        <w:t>[Indique una de las siguientes opciones].</w:t>
      </w:r>
    </w:p>
    <w:p>
      <w:pPr>
        <w:pStyle w:val="Ttulo2"/>
        <w:ind w:left="426"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“Un Oferente podrá presentar una Oferta Alternativa solamente con una Oferta para el requerimiento original. El Comprador solo considerará las Ofertas Alternativas </w:t>
      </w:r>
      <w:r>
        <w:rPr>
          <w:rFonts w:ascii="Times New Roman" w:hAnsi="Times New Roman" w:cs="Times New Roman"/>
          <w:b w:val="0"/>
          <w:bCs w:val="0"/>
          <w:color w:val="000000"/>
          <w:sz w:val="22"/>
          <w:szCs w:val="22"/>
          <w:lang w:val="es-ES"/>
        </w:rPr>
        <w:lastRenderedPageBreak/>
        <w:t>presentadas por el Oferente cuya Oferta para el caso base haya sido evaluada como la Oferta Más Ventajosa”.</w:t>
      </w:r>
    </w:p>
    <w:p>
      <w:pPr>
        <w:pStyle w:val="Ttulo2"/>
        <w:ind w:left="426" w:hanging="66"/>
        <w:jc w:val="both"/>
        <w:rPr>
          <w:rFonts w:ascii="Times New Roman" w:hAnsi="Times New Roman" w:cs="Times New Roman"/>
          <w:b w:val="0"/>
          <w:bCs w:val="0"/>
          <w:i/>
          <w:iCs/>
          <w:color w:val="000000"/>
          <w:sz w:val="22"/>
          <w:szCs w:val="22"/>
          <w:lang w:val="es-ES"/>
        </w:rPr>
      </w:pPr>
      <w:r>
        <w:rPr>
          <w:rFonts w:ascii="Times New Roman" w:hAnsi="Times New Roman" w:cs="Times New Roman"/>
          <w:b w:val="0"/>
          <w:bCs w:val="0"/>
          <w:i/>
          <w:iCs/>
          <w:color w:val="000000"/>
          <w:sz w:val="22"/>
          <w:szCs w:val="22"/>
          <w:lang w:val="es-ES"/>
        </w:rPr>
        <w:t>[O bien]</w:t>
      </w:r>
    </w:p>
    <w:p>
      <w:pPr>
        <w:ind w:left="360" w:right="146"/>
        <w:jc w:val="both"/>
        <w:rPr>
          <w:sz w:val="22"/>
          <w:szCs w:val="22"/>
          <w:lang w:val="es-ES"/>
        </w:rPr>
      </w:pPr>
      <w:r>
        <w:rPr>
          <w:color w:val="000000"/>
          <w:sz w:val="22"/>
          <w:szCs w:val="22"/>
          <w:lang w:val="es-ES"/>
        </w:rPr>
        <w:t>“Un Oferente podrá presentar una Oferta Alternativa con o sin una Oferta para el requerimiento original. El Comprador considerará las Ofertas presentadas como alternativas de acuerdo con lo establecido en las especificaciones técnicas de la Sección VI, “Requisitos de los Bienes y Servicios Conexos”. Todas las Ofertas recibidas para el requerimiento original, así como las Ofertas alternativas que cumplen los requerimientos especificados, se evaluaran por sus propios méritos de acuerdo con los mismos procedimientos, especificados en la IAO 34.6”.</w:t>
      </w:r>
    </w:p>
    <w:p>
      <w:pPr>
        <w:pStyle w:val="Ttulo2"/>
        <w:numPr>
          <w:ilvl w:val="0"/>
          <w:numId w:val="85"/>
        </w:numPr>
        <w:jc w:val="both"/>
        <w:rPr>
          <w:rFonts w:ascii="Times New Roman" w:hAnsi="Times New Roman" w:cs="Times New Roman"/>
          <w:color w:val="000000"/>
          <w:sz w:val="22"/>
          <w:szCs w:val="22"/>
          <w:lang w:val="es-ES"/>
        </w:rPr>
      </w:pPr>
      <w:r>
        <w:rPr>
          <w:rFonts w:ascii="Times New Roman" w:hAnsi="Times New Roman" w:cs="Times New Roman"/>
          <w:color w:val="000000"/>
          <w:sz w:val="22"/>
          <w:szCs w:val="22"/>
          <w:lang w:val="es-ES"/>
        </w:rPr>
        <w:t>C</w:t>
      </w:r>
      <w:bookmarkStart w:id="454" w:name="_Toc454620967"/>
      <w:bookmarkStart w:id="455" w:name="_Toc486938885"/>
      <w:r>
        <w:rPr>
          <w:rFonts w:ascii="Times New Roman" w:hAnsi="Times New Roman" w:cs="Times New Roman"/>
          <w:color w:val="000000"/>
          <w:sz w:val="22"/>
          <w:szCs w:val="22"/>
          <w:lang w:val="es-ES"/>
        </w:rPr>
        <w:t>alificación del Oferente (IAO 37)</w:t>
      </w:r>
      <w:bookmarkEnd w:id="454"/>
      <w:bookmarkEnd w:id="455"/>
    </w:p>
    <w:p>
      <w:pPr>
        <w:pStyle w:val="Ttulo2"/>
        <w:numPr>
          <w:ilvl w:val="1"/>
          <w:numId w:val="85"/>
        </w:numPr>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Criterios de Calificación (IAO 37.1)</w:t>
      </w:r>
    </w:p>
    <w:p>
      <w:pPr>
        <w:pStyle w:val="Ttulo2"/>
        <w:ind w:left="426" w:firstLine="0"/>
        <w:jc w:val="both"/>
        <w:rPr>
          <w:rFonts w:ascii="Times New Roman" w:hAnsi="Times New Roman" w:cs="Times New Roman"/>
          <w:b w:val="0"/>
          <w:bCs w:val="0"/>
          <w:color w:val="000000"/>
          <w:sz w:val="22"/>
          <w:szCs w:val="22"/>
          <w:lang w:val="es-ES"/>
        </w:rPr>
      </w:pPr>
      <w:r>
        <w:rPr>
          <w:rFonts w:ascii="Times New Roman" w:hAnsi="Times New Roman" w:cs="Times New Roman"/>
          <w:b w:val="0"/>
          <w:bCs w:val="0"/>
          <w:color w:val="000000"/>
          <w:sz w:val="22"/>
          <w:szCs w:val="22"/>
          <w:lang w:val="es-ES"/>
        </w:rPr>
        <w:t xml:space="preserve">Luego de determinar entre las Ofertas que cumplen sustancialmente con los requisitos la que presenta el costo evaluado más bajo de acuerdo con la IAO 35, y, si corresponde, de evaluar cualquier Oferta Anormalmente Baja (de acuerdo con la IAO 36), el Comprador efectuará la calificación posterior del Oferente de acuerdo con la IAO 37, empleando únicamente los requisitos estipulados. Los requisitos que no estén incluidos en el siguiente texto no podrán utilizarse para evaluar las calificaciones del Oferente. </w:t>
      </w:r>
    </w:p>
    <w:p>
      <w:pPr>
        <w:pStyle w:val="Ttulo2"/>
        <w:ind w:left="1134" w:right="-46" w:hanging="414"/>
        <w:jc w:val="both"/>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lang w:val="es-ES"/>
        </w:rPr>
        <w:t>(a)</w:t>
      </w:r>
      <w:r>
        <w:rPr>
          <w:rFonts w:ascii="Times New Roman" w:hAnsi="Times New Roman" w:cs="Times New Roman"/>
          <w:b w:val="0"/>
          <w:bCs w:val="0"/>
          <w:color w:val="000000"/>
          <w:sz w:val="22"/>
          <w:szCs w:val="22"/>
          <w:lang w:val="es-ES"/>
        </w:rPr>
        <w:tab/>
      </w:r>
      <w:r>
        <w:rPr>
          <w:rFonts w:ascii="Times New Roman" w:hAnsi="Times New Roman" w:cs="Times New Roman"/>
          <w:b w:val="0"/>
          <w:bCs w:val="0"/>
          <w:color w:val="000000"/>
          <w:sz w:val="22"/>
          <w:szCs w:val="22"/>
        </w:rPr>
        <w:tab/>
      </w:r>
      <w:r>
        <w:rPr>
          <w:rFonts w:ascii="Times New Roman" w:hAnsi="Times New Roman" w:cs="Times New Roman"/>
          <w:color w:val="000000"/>
          <w:sz w:val="22"/>
          <w:szCs w:val="22"/>
        </w:rPr>
        <w:t>Capacidad financiera:</w:t>
      </w:r>
    </w:p>
    <w:p>
      <w:pPr>
        <w:pStyle w:val="Ttulo2"/>
        <w:tabs>
          <w:tab w:val="left" w:pos="8738"/>
        </w:tabs>
        <w:ind w:left="1134" w:right="-46" w:hanging="414"/>
        <w:jc w:val="both"/>
        <w:rPr>
          <w:rFonts w:ascii="Times New Roman" w:hAnsi="Times New Roman" w:cs="Times New Roman"/>
          <w:color w:val="000000"/>
          <w:sz w:val="22"/>
          <w:szCs w:val="22"/>
        </w:rPr>
      </w:pPr>
      <w:r>
        <w:rPr>
          <w:rFonts w:ascii="Times New Roman" w:hAnsi="Times New Roman" w:cs="Times New Roman"/>
          <w:b w:val="0"/>
          <w:bCs w:val="0"/>
          <w:color w:val="000000"/>
          <w:sz w:val="22"/>
          <w:szCs w:val="22"/>
        </w:rPr>
        <w:tab/>
        <w:t xml:space="preserve">El Oferente deberá proporcionar prueba documental que demuestre que cumple los siguientes requisitos financieros: </w:t>
      </w:r>
    </w:p>
    <w:p>
      <w:pPr>
        <w:ind w:left="1134"/>
        <w:jc w:val="both"/>
        <w:rPr>
          <w:sz w:val="22"/>
          <w:szCs w:val="22"/>
        </w:rPr>
      </w:pPr>
      <w:r>
        <w:rPr>
          <w:sz w:val="22"/>
          <w:szCs w:val="22"/>
        </w:rPr>
        <w:t>El Oferente deberá demostrar el cumplimiento de los siguientes índices (información referencial).</w:t>
      </w:r>
    </w:p>
    <w:p>
      <w:pPr>
        <w:ind w:left="992"/>
        <w:jc w:val="both"/>
        <w:rPr>
          <w:b/>
          <w:sz w:val="22"/>
          <w:szCs w:val="22"/>
        </w:rPr>
      </w:pPr>
    </w:p>
    <w:p>
      <w:pPr>
        <w:pStyle w:val="Prrafodelista"/>
        <w:numPr>
          <w:ilvl w:val="0"/>
          <w:numId w:val="183"/>
        </w:numPr>
        <w:jc w:val="both"/>
        <w:rPr>
          <w:sz w:val="22"/>
          <w:szCs w:val="22"/>
        </w:rPr>
      </w:pPr>
      <w:r>
        <w:rPr>
          <w:b/>
          <w:sz w:val="22"/>
          <w:szCs w:val="22"/>
        </w:rPr>
        <w:t>Índice de Solvencia:</w:t>
      </w:r>
      <w:r>
        <w:rPr>
          <w:sz w:val="22"/>
          <w:szCs w:val="22"/>
        </w:rPr>
        <w:t xml:space="preserve"> mayor o igual a uno (1,00).</w:t>
      </w:r>
    </w:p>
    <w:p>
      <w:pPr>
        <w:ind w:left="992"/>
        <w:jc w:val="both"/>
        <w:rPr>
          <w:sz w:val="22"/>
          <w:szCs w:val="22"/>
        </w:rPr>
      </w:pPr>
    </w:p>
    <w:p>
      <w:pPr>
        <w:ind w:left="992" w:firstLine="142"/>
        <w:jc w:val="both"/>
        <w:rPr>
          <w:sz w:val="22"/>
          <w:szCs w:val="22"/>
        </w:rPr>
      </w:pPr>
      <w:r>
        <w:rPr>
          <w:sz w:val="22"/>
          <w:szCs w:val="22"/>
        </w:rPr>
        <w:t>Activo Corriente / Pasivo Corriente, redondeado al centésimo.</w:t>
      </w:r>
    </w:p>
    <w:p>
      <w:pPr>
        <w:ind w:left="992"/>
        <w:jc w:val="both"/>
        <w:rPr>
          <w:b/>
          <w:sz w:val="22"/>
          <w:szCs w:val="22"/>
        </w:rPr>
      </w:pPr>
    </w:p>
    <w:p>
      <w:pPr>
        <w:pStyle w:val="Prrafodelista"/>
        <w:numPr>
          <w:ilvl w:val="0"/>
          <w:numId w:val="183"/>
        </w:numPr>
        <w:jc w:val="both"/>
        <w:rPr>
          <w:sz w:val="22"/>
          <w:szCs w:val="22"/>
        </w:rPr>
      </w:pPr>
      <w:r>
        <w:rPr>
          <w:b/>
          <w:sz w:val="22"/>
          <w:szCs w:val="22"/>
        </w:rPr>
        <w:t xml:space="preserve">Índice de Endeudamiento: </w:t>
      </w:r>
      <w:r>
        <w:rPr>
          <w:sz w:val="22"/>
          <w:szCs w:val="22"/>
        </w:rPr>
        <w:t>menor o igual a uno (1,00).</w:t>
      </w:r>
    </w:p>
    <w:p>
      <w:pPr>
        <w:ind w:left="992"/>
        <w:jc w:val="both"/>
        <w:rPr>
          <w:sz w:val="22"/>
          <w:szCs w:val="22"/>
        </w:rPr>
      </w:pPr>
    </w:p>
    <w:p>
      <w:pPr>
        <w:ind w:left="992" w:firstLine="142"/>
        <w:jc w:val="both"/>
        <w:rPr>
          <w:sz w:val="22"/>
          <w:szCs w:val="22"/>
        </w:rPr>
      </w:pPr>
      <w:r>
        <w:rPr>
          <w:sz w:val="22"/>
          <w:szCs w:val="22"/>
        </w:rPr>
        <w:t>Pasivo Total / Patrimonio, redondeado al centésimo.</w:t>
      </w:r>
    </w:p>
    <w:p>
      <w:pPr>
        <w:ind w:left="992"/>
        <w:jc w:val="both"/>
        <w:rPr>
          <w:sz w:val="22"/>
          <w:szCs w:val="22"/>
        </w:rPr>
      </w:pPr>
    </w:p>
    <w:p>
      <w:pPr>
        <w:ind w:left="1134"/>
        <w:jc w:val="both"/>
        <w:rPr>
          <w:sz w:val="22"/>
          <w:szCs w:val="22"/>
        </w:rPr>
      </w:pPr>
      <w:r>
        <w:rPr>
          <w:b/>
          <w:sz w:val="22"/>
          <w:szCs w:val="22"/>
        </w:rPr>
        <w:t xml:space="preserve">Las reglas para la determinación </w:t>
      </w:r>
      <w:r>
        <w:rPr>
          <w:sz w:val="22"/>
          <w:szCs w:val="22"/>
        </w:rPr>
        <w:t>de los requisitos financieros serán las siguientes:</w:t>
      </w:r>
    </w:p>
    <w:p>
      <w:pPr>
        <w:ind w:left="1275" w:hanging="283"/>
        <w:jc w:val="both"/>
        <w:rPr>
          <w:sz w:val="22"/>
          <w:szCs w:val="22"/>
        </w:rPr>
      </w:pPr>
    </w:p>
    <w:p>
      <w:pPr>
        <w:pStyle w:val="Prrafodelista"/>
        <w:numPr>
          <w:ilvl w:val="0"/>
          <w:numId w:val="184"/>
        </w:numPr>
        <w:jc w:val="both"/>
        <w:rPr>
          <w:sz w:val="22"/>
          <w:szCs w:val="22"/>
        </w:rPr>
      </w:pPr>
      <w:r>
        <w:rPr>
          <w:sz w:val="22"/>
          <w:szCs w:val="22"/>
        </w:rPr>
        <w:t xml:space="preserve">Para el índice de solvencia y endeudamiento, se obtendrá respecto al último ejercicio fiscal anterior a la fecha de presentación de la oferta. </w:t>
      </w:r>
    </w:p>
    <w:p>
      <w:pPr>
        <w:ind w:left="1275" w:hanging="283"/>
        <w:jc w:val="both"/>
        <w:rPr>
          <w:sz w:val="22"/>
          <w:szCs w:val="22"/>
        </w:rPr>
      </w:pPr>
    </w:p>
    <w:p>
      <w:pPr>
        <w:pStyle w:val="Prrafodelista"/>
        <w:numPr>
          <w:ilvl w:val="0"/>
          <w:numId w:val="184"/>
        </w:numPr>
        <w:jc w:val="both"/>
        <w:rPr>
          <w:sz w:val="22"/>
          <w:szCs w:val="22"/>
        </w:rPr>
      </w:pPr>
      <w:r>
        <w:rPr>
          <w:sz w:val="22"/>
          <w:szCs w:val="22"/>
        </w:rPr>
        <w:t xml:space="preserve">Para oferentes en Asociación en participación, consorcio o asociación (APCA): </w:t>
      </w:r>
    </w:p>
    <w:p>
      <w:pPr>
        <w:ind w:left="1275" w:hanging="283"/>
        <w:jc w:val="both"/>
        <w:rPr>
          <w:sz w:val="22"/>
          <w:szCs w:val="22"/>
        </w:rPr>
      </w:pPr>
    </w:p>
    <w:p>
      <w:pPr>
        <w:ind w:left="1275" w:hanging="283"/>
        <w:jc w:val="both"/>
        <w:rPr>
          <w:sz w:val="22"/>
          <w:szCs w:val="22"/>
        </w:rPr>
      </w:pPr>
      <w:r>
        <w:rPr>
          <w:sz w:val="22"/>
          <w:szCs w:val="22"/>
        </w:rPr>
        <w:t xml:space="preserve">     Cada uno de los miembros del APCA</w:t>
      </w:r>
      <w:r>
        <w:rPr>
          <w:rStyle w:val="Refdenotaalpie"/>
          <w:sz w:val="22"/>
          <w:szCs w:val="22"/>
        </w:rPr>
        <w:footnoteReference w:id="8"/>
      </w:r>
      <w:r>
        <w:rPr>
          <w:sz w:val="22"/>
          <w:szCs w:val="22"/>
        </w:rPr>
        <w:t xml:space="preserve"> deberán cumplir con los índices señalados de conformidad a los porcentajes de su participación en el APCA</w:t>
      </w:r>
      <w:r>
        <w:rPr>
          <w:rStyle w:val="Refdenotaalpie"/>
          <w:sz w:val="22"/>
          <w:szCs w:val="22"/>
        </w:rPr>
        <w:footnoteReference w:id="9"/>
      </w:r>
      <w:r>
        <w:rPr>
          <w:sz w:val="22"/>
          <w:szCs w:val="22"/>
        </w:rPr>
        <w:t>, los mismos que se cumplirán con la sumatoria de estos porcentajes.</w:t>
      </w:r>
    </w:p>
    <w:p>
      <w:pPr>
        <w:ind w:left="1275"/>
        <w:jc w:val="both"/>
        <w:rPr>
          <w:sz w:val="22"/>
          <w:szCs w:val="22"/>
        </w:rPr>
      </w:pPr>
    </w:p>
    <w:p>
      <w:pPr>
        <w:ind w:left="992"/>
        <w:jc w:val="both"/>
        <w:rPr>
          <w:sz w:val="22"/>
          <w:szCs w:val="22"/>
        </w:rPr>
      </w:pPr>
      <w:r>
        <w:rPr>
          <w:sz w:val="22"/>
          <w:szCs w:val="22"/>
        </w:rPr>
        <w:t xml:space="preserve">La </w:t>
      </w:r>
      <w:r>
        <w:rPr>
          <w:b/>
          <w:sz w:val="22"/>
          <w:szCs w:val="22"/>
        </w:rPr>
        <w:t>evidencia documentada</w:t>
      </w:r>
      <w:r>
        <w:rPr>
          <w:sz w:val="22"/>
          <w:szCs w:val="22"/>
        </w:rPr>
        <w:t xml:space="preserve"> que se requiere para acreditar el cumplimiento de estos requisitos es:</w:t>
      </w:r>
    </w:p>
    <w:p>
      <w:pPr>
        <w:ind w:left="1559" w:hanging="284"/>
        <w:jc w:val="both"/>
        <w:rPr>
          <w:sz w:val="22"/>
          <w:szCs w:val="22"/>
        </w:rPr>
      </w:pPr>
    </w:p>
    <w:p>
      <w:pPr>
        <w:ind w:left="1559" w:hanging="284"/>
        <w:jc w:val="both"/>
        <w:rPr>
          <w:sz w:val="22"/>
          <w:szCs w:val="22"/>
        </w:rPr>
      </w:pPr>
      <w:r>
        <w:rPr>
          <w:sz w:val="22"/>
          <w:szCs w:val="22"/>
        </w:rPr>
        <w:t xml:space="preserve">a. Puede presentar copia simple de los estados financieros, última declaración del impuesto a la renta, o documentación equivalente en el país de origen, presentados a la autoridad competente, o auditados independientemente. La documentación deberá </w:t>
      </w:r>
      <w:r>
        <w:rPr>
          <w:sz w:val="22"/>
          <w:szCs w:val="22"/>
        </w:rPr>
        <w:lastRenderedPageBreak/>
        <w:t xml:space="preserve">venir denominada en dólares de los Estados Unidos de América. De estar denominados en otra moneda, incluirán la conversión a dólares de los Estados Unidos de América utilizando la tasa transaccional para la venta del tipo de cambio publicada en la página del Banco Central del Ecuador </w:t>
      </w:r>
      <w:hyperlink r:id="rId28" w:history="1">
        <w:r>
          <w:rPr>
            <w:rStyle w:val="Hipervnculo"/>
            <w:sz w:val="22"/>
            <w:szCs w:val="22"/>
          </w:rPr>
          <w:t>https://www.bce.fin.ec/index.php/component/k2/item/260consulta-por-monedas-extranjeras</w:t>
        </w:r>
      </w:hyperlink>
      <w:r>
        <w:rPr>
          <w:sz w:val="22"/>
          <w:szCs w:val="22"/>
        </w:rPr>
        <w:t>, a la fecha del último día del ejercicio fiscal correspondiente.</w:t>
      </w:r>
    </w:p>
    <w:p>
      <w:pPr>
        <w:ind w:left="1559" w:hanging="284"/>
        <w:jc w:val="both"/>
        <w:rPr>
          <w:sz w:val="22"/>
          <w:szCs w:val="22"/>
        </w:rPr>
      </w:pPr>
      <w:r>
        <w:rPr>
          <w:sz w:val="22"/>
          <w:szCs w:val="22"/>
        </w:rPr>
        <w:t>b. Si por la normativa del país de origen, los estados financieros, declaración del impuesto a la renta o documentación equivalente no son exigibles a la fecha de presentación de ofertas, el oferente indicará esta situación y podrá presentar los estados financieros, declaración del impuesto a la renta o documentación equivalente del ejercicio fiscal inmediato anterior.</w:t>
      </w:r>
    </w:p>
    <w:p>
      <w:pPr>
        <w:pStyle w:val="Ttulo2"/>
        <w:ind w:left="1134" w:hanging="414"/>
        <w:jc w:val="both"/>
        <w:rPr>
          <w:rFonts w:ascii="Times New Roman" w:hAnsi="Times New Roman" w:cs="Times New Roman"/>
          <w:color w:val="000000"/>
          <w:sz w:val="22"/>
          <w:szCs w:val="22"/>
        </w:rPr>
      </w:pPr>
      <w:r>
        <w:rPr>
          <w:rFonts w:ascii="Times New Roman" w:hAnsi="Times New Roman" w:cs="Times New Roman"/>
          <w:color w:val="000000"/>
          <w:sz w:val="22"/>
          <w:szCs w:val="22"/>
        </w:rPr>
        <w:t>(ii)</w:t>
      </w:r>
      <w:r>
        <w:rPr>
          <w:rFonts w:ascii="Times New Roman" w:hAnsi="Times New Roman" w:cs="Times New Roman"/>
          <w:color w:val="000000"/>
          <w:sz w:val="22"/>
          <w:szCs w:val="22"/>
        </w:rPr>
        <w:tab/>
        <w:t>Experiencia y capacidad técnica:</w:t>
      </w:r>
    </w:p>
    <w:tbl>
      <w:tblPr>
        <w:tblStyle w:val="TableNormal"/>
        <w:tblW w:w="8494"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6125"/>
      </w:tblGrid>
      <w:tr>
        <w:trPr>
          <w:trHeight w:val="280"/>
        </w:trPr>
        <w:tc>
          <w:tcPr>
            <w:tcW w:w="8494" w:type="dxa"/>
            <w:gridSpan w:val="2"/>
          </w:tcPr>
          <w:p>
            <w:pPr>
              <w:pStyle w:val="TableParagraph"/>
              <w:spacing w:before="4" w:line="256" w:lineRule="exact"/>
              <w:ind w:left="20"/>
              <w:jc w:val="center"/>
              <w:rPr>
                <w:rFonts w:ascii="Times New Roman" w:hAnsi="Times New Roman" w:cs="Times New Roman"/>
                <w:b/>
              </w:rPr>
            </w:pPr>
            <w:r>
              <w:rPr>
                <w:rFonts w:ascii="Times New Roman" w:hAnsi="Times New Roman" w:cs="Times New Roman"/>
                <w:i/>
                <w:iCs/>
                <w:color w:val="000000"/>
                <w:lang w:val="es-ES"/>
              </w:rPr>
              <w:t>.</w:t>
            </w:r>
            <w:bookmarkStart w:id="456" w:name="_Toc494782908"/>
            <w:bookmarkStart w:id="457" w:name="_Toc494783026"/>
            <w:bookmarkStart w:id="458" w:name="_Toc494783167"/>
            <w:bookmarkStart w:id="459" w:name="_Toc496870801"/>
            <w:bookmarkStart w:id="460" w:name="_Toc494782909"/>
            <w:bookmarkStart w:id="461" w:name="_Toc494783027"/>
            <w:bookmarkStart w:id="462" w:name="_Toc494783168"/>
            <w:bookmarkStart w:id="463" w:name="_Toc496870802"/>
            <w:bookmarkStart w:id="464" w:name="_Toc494782910"/>
            <w:bookmarkStart w:id="465" w:name="_Toc494783028"/>
            <w:bookmarkStart w:id="466" w:name="_Toc494783169"/>
            <w:bookmarkStart w:id="467" w:name="_Toc496870803"/>
            <w:bookmarkStart w:id="468" w:name="_Toc494782911"/>
            <w:bookmarkStart w:id="469" w:name="_Toc494783029"/>
            <w:bookmarkStart w:id="470" w:name="_Toc494783170"/>
            <w:bookmarkStart w:id="471" w:name="_Toc496870804"/>
            <w:bookmarkStart w:id="472" w:name="_Toc494782912"/>
            <w:bookmarkStart w:id="473" w:name="_Toc494783030"/>
            <w:bookmarkStart w:id="474" w:name="_Toc494783171"/>
            <w:bookmarkStart w:id="475" w:name="_Toc496870805"/>
            <w:bookmarkStart w:id="476" w:name="_Toc494782913"/>
            <w:bookmarkStart w:id="477" w:name="_Toc494783031"/>
            <w:bookmarkStart w:id="478" w:name="_Toc494783172"/>
            <w:bookmarkStart w:id="479" w:name="_Toc496870806"/>
            <w:bookmarkStart w:id="480" w:name="_Toc494782914"/>
            <w:bookmarkStart w:id="481" w:name="_Toc494783032"/>
            <w:bookmarkStart w:id="482" w:name="_Toc494783173"/>
            <w:bookmarkStart w:id="483" w:name="_Toc496870807"/>
            <w:bookmarkStart w:id="484" w:name="_Toc494782915"/>
            <w:bookmarkStart w:id="485" w:name="_Toc494783033"/>
            <w:bookmarkStart w:id="486" w:name="_Toc494783174"/>
            <w:bookmarkStart w:id="487" w:name="_Toc496870808"/>
            <w:bookmarkStart w:id="488" w:name="_Toc494782916"/>
            <w:bookmarkStart w:id="489" w:name="_Toc494783034"/>
            <w:bookmarkStart w:id="490" w:name="_Toc494783175"/>
            <w:bookmarkStart w:id="491" w:name="_Toc496870809"/>
            <w:bookmarkStart w:id="492" w:name="_Toc494782917"/>
            <w:bookmarkStart w:id="493" w:name="_Toc494783035"/>
            <w:bookmarkStart w:id="494" w:name="_Toc494783176"/>
            <w:bookmarkStart w:id="495" w:name="_Toc496870810"/>
            <w:bookmarkStart w:id="496" w:name="_Toc494782918"/>
            <w:bookmarkStart w:id="497" w:name="_Toc494783036"/>
            <w:bookmarkStart w:id="498" w:name="_Toc494783177"/>
            <w:bookmarkStart w:id="499" w:name="_Toc496870811"/>
            <w:bookmarkStart w:id="500" w:name="_Toc494782919"/>
            <w:bookmarkStart w:id="501" w:name="_Toc494783037"/>
            <w:bookmarkStart w:id="502" w:name="_Toc494783178"/>
            <w:bookmarkStart w:id="503" w:name="_Toc496870812"/>
            <w:bookmarkStart w:id="504" w:name="_Toc494782920"/>
            <w:bookmarkStart w:id="505" w:name="_Toc494783038"/>
            <w:bookmarkStart w:id="506" w:name="_Toc494783179"/>
            <w:bookmarkStart w:id="507" w:name="_Toc496870813"/>
            <w:bookmarkStart w:id="508" w:name="_Toc494782921"/>
            <w:bookmarkStart w:id="509" w:name="_Toc494783039"/>
            <w:bookmarkStart w:id="510" w:name="_Toc494783180"/>
            <w:bookmarkStart w:id="511" w:name="_Toc496870814"/>
            <w:bookmarkStart w:id="512" w:name="_Toc494782922"/>
            <w:bookmarkStart w:id="513" w:name="_Toc494783040"/>
            <w:bookmarkStart w:id="514" w:name="_Toc494783181"/>
            <w:bookmarkStart w:id="515" w:name="_Toc496870815"/>
            <w:bookmarkStart w:id="516" w:name="_Toc494782923"/>
            <w:bookmarkStart w:id="517" w:name="_Toc494783041"/>
            <w:bookmarkStart w:id="518" w:name="_Toc494783182"/>
            <w:bookmarkStart w:id="519" w:name="_Toc496870816"/>
            <w:bookmarkStart w:id="520" w:name="_Toc494782924"/>
            <w:bookmarkStart w:id="521" w:name="_Toc494783042"/>
            <w:bookmarkStart w:id="522" w:name="_Toc494783183"/>
            <w:bookmarkStart w:id="523" w:name="_Toc496870817"/>
            <w:bookmarkStart w:id="524" w:name="_Toc494782925"/>
            <w:bookmarkStart w:id="525" w:name="_Toc494783043"/>
            <w:bookmarkStart w:id="526" w:name="_Toc494783184"/>
            <w:bookmarkStart w:id="527" w:name="_Toc496870818"/>
            <w:bookmarkStart w:id="528" w:name="_Toc494782926"/>
            <w:bookmarkStart w:id="529" w:name="_Toc494783044"/>
            <w:bookmarkStart w:id="530" w:name="_Toc494783185"/>
            <w:bookmarkStart w:id="531" w:name="_Toc496870819"/>
            <w:bookmarkStart w:id="532" w:name="_Toc494782927"/>
            <w:bookmarkStart w:id="533" w:name="_Toc494783045"/>
            <w:bookmarkStart w:id="534" w:name="_Toc494783186"/>
            <w:bookmarkStart w:id="535" w:name="_Toc496870820"/>
            <w:bookmarkStart w:id="536" w:name="_Toc494782928"/>
            <w:bookmarkStart w:id="537" w:name="_Toc494783046"/>
            <w:bookmarkStart w:id="538" w:name="_Toc494783187"/>
            <w:bookmarkStart w:id="539" w:name="_Toc496870821"/>
            <w:bookmarkStart w:id="540" w:name="_Toc494782929"/>
            <w:bookmarkStart w:id="541" w:name="_Toc494783047"/>
            <w:bookmarkStart w:id="542" w:name="_Toc494783188"/>
            <w:bookmarkStart w:id="543" w:name="_Toc496870822"/>
            <w:bookmarkStart w:id="544" w:name="_Toc494782930"/>
            <w:bookmarkStart w:id="545" w:name="_Toc494783048"/>
            <w:bookmarkStart w:id="546" w:name="_Toc494783189"/>
            <w:bookmarkStart w:id="547" w:name="_Toc496870823"/>
            <w:bookmarkStart w:id="548" w:name="_Toc494782931"/>
            <w:bookmarkStart w:id="549" w:name="_Toc494783049"/>
            <w:bookmarkStart w:id="550" w:name="_Toc494783190"/>
            <w:bookmarkStart w:id="551" w:name="_Toc496870824"/>
            <w:bookmarkStart w:id="552" w:name="_Toc494782932"/>
            <w:bookmarkStart w:id="553" w:name="_Toc494783050"/>
            <w:bookmarkStart w:id="554" w:name="_Toc494783191"/>
            <w:bookmarkStart w:id="555" w:name="_Toc496870825"/>
            <w:bookmarkStart w:id="556" w:name="_Toc494782933"/>
            <w:bookmarkStart w:id="557" w:name="_Toc494783051"/>
            <w:bookmarkStart w:id="558" w:name="_Toc494783192"/>
            <w:bookmarkStart w:id="559" w:name="_Toc496870826"/>
            <w:bookmarkStart w:id="560" w:name="_Toc494782934"/>
            <w:bookmarkStart w:id="561" w:name="_Toc494783052"/>
            <w:bookmarkStart w:id="562" w:name="_Toc494783193"/>
            <w:bookmarkStart w:id="563" w:name="_Toc496870827"/>
            <w:bookmarkStart w:id="564" w:name="_Toc494782935"/>
            <w:bookmarkStart w:id="565" w:name="_Toc494783053"/>
            <w:bookmarkStart w:id="566" w:name="_Toc494783194"/>
            <w:bookmarkStart w:id="567" w:name="_Toc496870828"/>
            <w:bookmarkStart w:id="568" w:name="_Toc494782936"/>
            <w:bookmarkStart w:id="569" w:name="_Toc494783054"/>
            <w:bookmarkStart w:id="570" w:name="_Toc494783195"/>
            <w:bookmarkStart w:id="571" w:name="_Toc496870829"/>
            <w:bookmarkStart w:id="572" w:name="_Toc494782937"/>
            <w:bookmarkStart w:id="573" w:name="_Toc494783055"/>
            <w:bookmarkStart w:id="574" w:name="_Toc494783196"/>
            <w:bookmarkStart w:id="575" w:name="_Toc496870830"/>
            <w:bookmarkStart w:id="576" w:name="_Toc494782938"/>
            <w:bookmarkStart w:id="577" w:name="_Toc494783056"/>
            <w:bookmarkStart w:id="578" w:name="_Toc494783197"/>
            <w:bookmarkStart w:id="579" w:name="_Toc496870831"/>
            <w:bookmarkStart w:id="580" w:name="_Toc494782939"/>
            <w:bookmarkStart w:id="581" w:name="_Toc494783057"/>
            <w:bookmarkStart w:id="582" w:name="_Toc494783198"/>
            <w:bookmarkStart w:id="583" w:name="_Toc496870832"/>
            <w:bookmarkStart w:id="584" w:name="_Toc494782940"/>
            <w:bookmarkStart w:id="585" w:name="_Toc494783058"/>
            <w:bookmarkStart w:id="586" w:name="_Toc494783199"/>
            <w:bookmarkStart w:id="587" w:name="_Toc496870833"/>
            <w:bookmarkStart w:id="588" w:name="_Toc494782941"/>
            <w:bookmarkStart w:id="589" w:name="_Toc494783059"/>
            <w:bookmarkStart w:id="590" w:name="_Toc494783200"/>
            <w:bookmarkStart w:id="591" w:name="_Toc496870834"/>
            <w:bookmarkStart w:id="592" w:name="_Toc494782942"/>
            <w:bookmarkStart w:id="593" w:name="_Toc494783060"/>
            <w:bookmarkStart w:id="594" w:name="_Toc494783201"/>
            <w:bookmarkStart w:id="595" w:name="_Toc496870835"/>
            <w:bookmarkStart w:id="596" w:name="_Toc494782943"/>
            <w:bookmarkStart w:id="597" w:name="_Toc494783061"/>
            <w:bookmarkStart w:id="598" w:name="_Toc494783202"/>
            <w:bookmarkStart w:id="599" w:name="_Toc496870836"/>
            <w:bookmarkStart w:id="600" w:name="_Toc494782944"/>
            <w:bookmarkStart w:id="601" w:name="_Toc494783062"/>
            <w:bookmarkStart w:id="602" w:name="_Toc494783203"/>
            <w:bookmarkStart w:id="603" w:name="_Toc496870837"/>
            <w:bookmarkStart w:id="604" w:name="_Toc494782945"/>
            <w:bookmarkStart w:id="605" w:name="_Toc494783063"/>
            <w:bookmarkStart w:id="606" w:name="_Toc494783204"/>
            <w:bookmarkStart w:id="607" w:name="_Toc496870838"/>
            <w:bookmarkStart w:id="608" w:name="_Toc494782946"/>
            <w:bookmarkStart w:id="609" w:name="_Toc494783064"/>
            <w:bookmarkStart w:id="610" w:name="_Toc494783205"/>
            <w:bookmarkStart w:id="611" w:name="_Toc496870839"/>
            <w:bookmarkStart w:id="612" w:name="_Toc494782947"/>
            <w:bookmarkStart w:id="613" w:name="_Toc494783065"/>
            <w:bookmarkStart w:id="614" w:name="_Toc494783206"/>
            <w:bookmarkStart w:id="615" w:name="_Toc496870840"/>
            <w:bookmarkStart w:id="616" w:name="_Toc494782948"/>
            <w:bookmarkStart w:id="617" w:name="_Toc494783066"/>
            <w:bookmarkStart w:id="618" w:name="_Toc494783207"/>
            <w:bookmarkStart w:id="619" w:name="_Toc496870841"/>
            <w:bookmarkStart w:id="620" w:name="_Toc494782949"/>
            <w:bookmarkStart w:id="621" w:name="_Toc494783067"/>
            <w:bookmarkStart w:id="622" w:name="_Toc494783208"/>
            <w:bookmarkStart w:id="623" w:name="_Toc496870842"/>
            <w:bookmarkStart w:id="624" w:name="_Toc494782950"/>
            <w:bookmarkStart w:id="625" w:name="_Toc494783068"/>
            <w:bookmarkStart w:id="626" w:name="_Toc494783209"/>
            <w:bookmarkStart w:id="627" w:name="_Toc496870843"/>
            <w:bookmarkStart w:id="628" w:name="_Toc494782951"/>
            <w:bookmarkStart w:id="629" w:name="_Toc494783069"/>
            <w:bookmarkStart w:id="630" w:name="_Toc494783210"/>
            <w:bookmarkStart w:id="631" w:name="_Toc496870844"/>
            <w:bookmarkStart w:id="632" w:name="_Toc494782952"/>
            <w:bookmarkStart w:id="633" w:name="_Toc494783070"/>
            <w:bookmarkStart w:id="634" w:name="_Toc494783211"/>
            <w:bookmarkStart w:id="635" w:name="_Toc496870845"/>
            <w:bookmarkStart w:id="636" w:name="_Toc494782953"/>
            <w:bookmarkStart w:id="637" w:name="_Toc494783071"/>
            <w:bookmarkStart w:id="638" w:name="_Toc494783212"/>
            <w:bookmarkStart w:id="639" w:name="_Toc496870846"/>
            <w:bookmarkStart w:id="640" w:name="_Toc494782954"/>
            <w:bookmarkStart w:id="641" w:name="_Toc494783072"/>
            <w:bookmarkStart w:id="642" w:name="_Toc494783213"/>
            <w:bookmarkStart w:id="643" w:name="_Toc496870847"/>
            <w:bookmarkStart w:id="644" w:name="_Toc494782955"/>
            <w:bookmarkStart w:id="645" w:name="_Toc494783073"/>
            <w:bookmarkStart w:id="646" w:name="_Toc494783214"/>
            <w:bookmarkStart w:id="647" w:name="_Toc496870848"/>
            <w:bookmarkStart w:id="648" w:name="_Toc494782956"/>
            <w:bookmarkStart w:id="649" w:name="_Toc494783074"/>
            <w:bookmarkStart w:id="650" w:name="_Toc494783215"/>
            <w:bookmarkStart w:id="651" w:name="_Toc496870849"/>
            <w:bookmarkStart w:id="652" w:name="_Toc494782957"/>
            <w:bookmarkStart w:id="653" w:name="_Toc494783075"/>
            <w:bookmarkStart w:id="654" w:name="_Toc494783216"/>
            <w:bookmarkStart w:id="655" w:name="_Toc496870850"/>
            <w:bookmarkStart w:id="656" w:name="_Toc494782958"/>
            <w:bookmarkStart w:id="657" w:name="_Toc494783076"/>
            <w:bookmarkStart w:id="658" w:name="_Toc494783217"/>
            <w:bookmarkStart w:id="659" w:name="_Toc496870851"/>
            <w:bookmarkStart w:id="660" w:name="_Toc494782959"/>
            <w:bookmarkStart w:id="661" w:name="_Toc494783077"/>
            <w:bookmarkStart w:id="662" w:name="_Toc494783218"/>
            <w:bookmarkStart w:id="663" w:name="_Toc496870852"/>
            <w:bookmarkStart w:id="664" w:name="_Toc494782960"/>
            <w:bookmarkStart w:id="665" w:name="_Toc494783078"/>
            <w:bookmarkStart w:id="666" w:name="_Toc494783219"/>
            <w:bookmarkStart w:id="667" w:name="_Toc496870853"/>
            <w:bookmarkStart w:id="668" w:name="_Toc494782961"/>
            <w:bookmarkStart w:id="669" w:name="_Toc494783079"/>
            <w:bookmarkStart w:id="670" w:name="_Toc494783220"/>
            <w:bookmarkStart w:id="671" w:name="_Toc496870854"/>
            <w:bookmarkStart w:id="672" w:name="_Toc494782962"/>
            <w:bookmarkStart w:id="673" w:name="_Toc494783080"/>
            <w:bookmarkStart w:id="674" w:name="_Toc494783221"/>
            <w:bookmarkStart w:id="675" w:name="_Toc496870855"/>
            <w:bookmarkStart w:id="676" w:name="_Toc494782963"/>
            <w:bookmarkStart w:id="677" w:name="_Toc494783081"/>
            <w:bookmarkStart w:id="678" w:name="_Toc494783222"/>
            <w:bookmarkStart w:id="679" w:name="_Toc496870856"/>
            <w:bookmarkStart w:id="680" w:name="_Toc496870860"/>
            <w:bookmarkEnd w:id="447"/>
            <w:bookmarkEnd w:id="448"/>
            <w:bookmarkEnd w:id="449"/>
            <w:bookmarkEnd w:id="450"/>
            <w:bookmarkEnd w:id="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ascii="Times New Roman" w:hAnsi="Times New Roman" w:cs="Times New Roman"/>
                <w:b/>
              </w:rPr>
              <w:t>Experiencia</w:t>
            </w:r>
            <w:r>
              <w:rPr>
                <w:rFonts w:ascii="Times New Roman" w:hAnsi="Times New Roman" w:cs="Times New Roman"/>
                <w:b/>
                <w:spacing w:val="-12"/>
              </w:rPr>
              <w:t xml:space="preserve"> </w:t>
            </w:r>
            <w:r>
              <w:rPr>
                <w:rFonts w:ascii="Times New Roman" w:hAnsi="Times New Roman" w:cs="Times New Roman"/>
                <w:b/>
              </w:rPr>
              <w:t>del</w:t>
            </w:r>
            <w:r>
              <w:rPr>
                <w:rFonts w:ascii="Times New Roman" w:hAnsi="Times New Roman" w:cs="Times New Roman"/>
                <w:b/>
                <w:spacing w:val="-10"/>
              </w:rPr>
              <w:t xml:space="preserve"> </w:t>
            </w:r>
            <w:r>
              <w:rPr>
                <w:rFonts w:ascii="Times New Roman" w:hAnsi="Times New Roman" w:cs="Times New Roman"/>
                <w:b/>
                <w:spacing w:val="-2"/>
              </w:rPr>
              <w:t>Oferente</w:t>
            </w:r>
          </w:p>
        </w:tc>
      </w:tr>
      <w:tr>
        <w:trPr>
          <w:trHeight w:val="3526"/>
        </w:trPr>
        <w:tc>
          <w:tcPr>
            <w:tcW w:w="2369" w:type="dxa"/>
          </w:tcPr>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spacing w:before="17"/>
              <w:rPr>
                <w:rFonts w:ascii="Times New Roman" w:hAnsi="Times New Roman" w:cs="Times New Roman"/>
                <w:b/>
              </w:rPr>
            </w:pPr>
          </w:p>
          <w:p>
            <w:pPr>
              <w:pStyle w:val="TableParagraph"/>
              <w:ind w:left="11"/>
              <w:rPr>
                <w:rFonts w:ascii="Times New Roman" w:hAnsi="Times New Roman" w:cs="Times New Roman"/>
                <w:b/>
              </w:rPr>
            </w:pPr>
            <w:r>
              <w:rPr>
                <w:rFonts w:ascii="Times New Roman" w:hAnsi="Times New Roman" w:cs="Times New Roman"/>
                <w:b/>
                <w:spacing w:val="-2"/>
              </w:rPr>
              <w:t>Experiencia</w:t>
            </w:r>
            <w:r>
              <w:rPr>
                <w:rFonts w:ascii="Times New Roman" w:hAnsi="Times New Roman" w:cs="Times New Roman"/>
                <w:b/>
              </w:rPr>
              <w:t xml:space="preserve"> </w:t>
            </w:r>
            <w:r>
              <w:rPr>
                <w:rFonts w:ascii="Times New Roman" w:hAnsi="Times New Roman" w:cs="Times New Roman"/>
                <w:b/>
                <w:spacing w:val="-2"/>
              </w:rPr>
              <w:t>Específica</w:t>
            </w:r>
          </w:p>
        </w:tc>
        <w:tc>
          <w:tcPr>
            <w:tcW w:w="6125" w:type="dxa"/>
          </w:tcPr>
          <w:p>
            <w:pPr>
              <w:pStyle w:val="TableParagraph"/>
              <w:numPr>
                <w:ilvl w:val="0"/>
                <w:numId w:val="185"/>
              </w:numPr>
              <w:tabs>
                <w:tab w:val="left" w:pos="172"/>
              </w:tabs>
              <w:ind w:right="135"/>
              <w:jc w:val="both"/>
              <w:rPr>
                <w:rFonts w:ascii="Times New Roman" w:hAnsi="Times New Roman" w:cs="Times New Roman"/>
              </w:rPr>
            </w:pPr>
            <w:r>
              <w:rPr>
                <w:rFonts w:ascii="Times New Roman" w:hAnsi="Times New Roman" w:cs="Times New Roman"/>
              </w:rPr>
              <w:t>El</w:t>
            </w:r>
            <w:r>
              <w:rPr>
                <w:rFonts w:ascii="Times New Roman" w:hAnsi="Times New Roman" w:cs="Times New Roman"/>
                <w:spacing w:val="-10"/>
              </w:rPr>
              <w:t xml:space="preserve"> </w:t>
            </w:r>
            <w:r>
              <w:rPr>
                <w:rFonts w:ascii="Times New Roman" w:hAnsi="Times New Roman" w:cs="Times New Roman"/>
              </w:rPr>
              <w:t>oferente</w:t>
            </w:r>
            <w:r>
              <w:rPr>
                <w:rFonts w:ascii="Times New Roman" w:hAnsi="Times New Roman" w:cs="Times New Roman"/>
                <w:spacing w:val="-11"/>
              </w:rPr>
              <w:t xml:space="preserve"> </w:t>
            </w:r>
            <w:r>
              <w:rPr>
                <w:rFonts w:ascii="Times New Roman" w:hAnsi="Times New Roman" w:cs="Times New Roman"/>
              </w:rPr>
              <w:t>deberá</w:t>
            </w:r>
            <w:r>
              <w:rPr>
                <w:rFonts w:ascii="Times New Roman" w:hAnsi="Times New Roman" w:cs="Times New Roman"/>
                <w:spacing w:val="-11"/>
              </w:rPr>
              <w:t xml:space="preserve"> </w:t>
            </w:r>
            <w:r>
              <w:rPr>
                <w:rFonts w:ascii="Times New Roman" w:hAnsi="Times New Roman" w:cs="Times New Roman"/>
              </w:rPr>
              <w:t>contar</w:t>
            </w:r>
            <w:r>
              <w:rPr>
                <w:rFonts w:ascii="Times New Roman" w:hAnsi="Times New Roman" w:cs="Times New Roman"/>
                <w:spacing w:val="-12"/>
              </w:rPr>
              <w:t xml:space="preserve"> </w:t>
            </w:r>
            <w:r>
              <w:rPr>
                <w:rFonts w:ascii="Times New Roman" w:hAnsi="Times New Roman" w:cs="Times New Roman"/>
              </w:rPr>
              <w:t>con</w:t>
            </w:r>
            <w:r>
              <w:rPr>
                <w:rFonts w:ascii="Times New Roman" w:hAnsi="Times New Roman" w:cs="Times New Roman"/>
                <w:spacing w:val="-10"/>
              </w:rPr>
              <w:t xml:space="preserve"> </w:t>
            </w:r>
            <w:r>
              <w:rPr>
                <w:rFonts w:ascii="Times New Roman" w:hAnsi="Times New Roman" w:cs="Times New Roman"/>
              </w:rPr>
              <w:t>el</w:t>
            </w:r>
            <w:r>
              <w:rPr>
                <w:rFonts w:ascii="Times New Roman" w:hAnsi="Times New Roman" w:cs="Times New Roman"/>
                <w:spacing w:val="-11"/>
              </w:rPr>
              <w:t xml:space="preserve"> </w:t>
            </w:r>
            <w:r>
              <w:rPr>
                <w:rFonts w:ascii="Times New Roman" w:hAnsi="Times New Roman" w:cs="Times New Roman"/>
              </w:rPr>
              <w:t>aval</w:t>
            </w:r>
            <w:r>
              <w:rPr>
                <w:rFonts w:ascii="Times New Roman" w:hAnsi="Times New Roman" w:cs="Times New Roman"/>
                <w:spacing w:val="-11"/>
              </w:rPr>
              <w:t xml:space="preserve"> </w:t>
            </w:r>
            <w:r>
              <w:rPr>
                <w:rFonts w:ascii="Times New Roman" w:hAnsi="Times New Roman" w:cs="Times New Roman"/>
              </w:rPr>
              <w:t>académico</w:t>
            </w:r>
            <w:r>
              <w:rPr>
                <w:rFonts w:ascii="Times New Roman" w:hAnsi="Times New Roman" w:cs="Times New Roman"/>
                <w:spacing w:val="-11"/>
              </w:rPr>
              <w:t xml:space="preserve"> </w:t>
            </w:r>
            <w:r>
              <w:rPr>
                <w:rFonts w:ascii="Times New Roman" w:hAnsi="Times New Roman" w:cs="Times New Roman"/>
              </w:rPr>
              <w:t>acreditado</w:t>
            </w:r>
            <w:r>
              <w:rPr>
                <w:rFonts w:ascii="Times New Roman" w:hAnsi="Times New Roman" w:cs="Times New Roman"/>
                <w:spacing w:val="-11"/>
              </w:rPr>
              <w:t xml:space="preserve"> </w:t>
            </w:r>
            <w:r>
              <w:rPr>
                <w:rFonts w:ascii="Times New Roman" w:hAnsi="Times New Roman" w:cs="Times New Roman"/>
              </w:rPr>
              <w:t>por las instituciones públicas pertinentes.</w:t>
            </w:r>
          </w:p>
          <w:p>
            <w:pPr>
              <w:pStyle w:val="TableParagraph"/>
              <w:numPr>
                <w:ilvl w:val="0"/>
                <w:numId w:val="185"/>
              </w:numPr>
              <w:tabs>
                <w:tab w:val="left" w:pos="172"/>
              </w:tabs>
              <w:spacing w:before="267"/>
              <w:ind w:right="133"/>
              <w:jc w:val="both"/>
              <w:rPr>
                <w:rFonts w:ascii="Times New Roman" w:hAnsi="Times New Roman" w:cs="Times New Roman"/>
              </w:rPr>
            </w:pPr>
            <w:r>
              <w:rPr>
                <w:rFonts w:ascii="Times New Roman" w:hAnsi="Times New Roman" w:cs="Times New Roman"/>
              </w:rPr>
              <w:t>El oferente deberá presentar una copia simple del Estatuto, Resolución o documento legal en el que conste la Unidad de Formación Permanente o Educación Continua, en el marco de lo que determina la Ley Orgánica de Educación Superior.</w:t>
            </w:r>
          </w:p>
          <w:p>
            <w:pPr>
              <w:pStyle w:val="TableParagraph"/>
              <w:spacing w:before="1"/>
              <w:rPr>
                <w:rFonts w:ascii="Times New Roman" w:hAnsi="Times New Roman" w:cs="Times New Roman"/>
                <w:b/>
              </w:rPr>
            </w:pPr>
          </w:p>
          <w:p>
            <w:pPr>
              <w:pStyle w:val="TableParagraph"/>
              <w:numPr>
                <w:ilvl w:val="0"/>
                <w:numId w:val="185"/>
              </w:numPr>
              <w:tabs>
                <w:tab w:val="left" w:pos="172"/>
              </w:tabs>
              <w:ind w:right="133"/>
              <w:jc w:val="both"/>
              <w:rPr>
                <w:rFonts w:ascii="Times New Roman" w:hAnsi="Times New Roman" w:cs="Times New Roman"/>
              </w:rPr>
            </w:pPr>
            <w:r>
              <w:rPr>
                <w:rFonts w:ascii="Times New Roman" w:hAnsi="Times New Roman" w:cs="Times New Roman"/>
              </w:rPr>
              <w:t>Se comprobará la experiencia del oferente en programas de capacitación profesional en Comunicación o carreras afines mediante</w:t>
            </w:r>
            <w:r>
              <w:rPr>
                <w:rFonts w:ascii="Times New Roman" w:hAnsi="Times New Roman" w:cs="Times New Roman"/>
                <w:spacing w:val="-10"/>
              </w:rPr>
              <w:t xml:space="preserve"> </w:t>
            </w:r>
            <w:r>
              <w:rPr>
                <w:rFonts w:ascii="Times New Roman" w:hAnsi="Times New Roman" w:cs="Times New Roman"/>
              </w:rPr>
              <w:t>la</w:t>
            </w:r>
            <w:r>
              <w:rPr>
                <w:rFonts w:ascii="Times New Roman" w:hAnsi="Times New Roman" w:cs="Times New Roman"/>
                <w:spacing w:val="-11"/>
              </w:rPr>
              <w:t xml:space="preserve"> </w:t>
            </w:r>
            <w:r>
              <w:rPr>
                <w:rFonts w:ascii="Times New Roman" w:hAnsi="Times New Roman" w:cs="Times New Roman"/>
              </w:rPr>
              <w:t>presentación</w:t>
            </w:r>
            <w:r>
              <w:rPr>
                <w:rFonts w:ascii="Times New Roman" w:hAnsi="Times New Roman" w:cs="Times New Roman"/>
                <w:spacing w:val="-12"/>
              </w:rPr>
              <w:t xml:space="preserve"> </w:t>
            </w:r>
            <w:r>
              <w:rPr>
                <w:rFonts w:ascii="Times New Roman" w:hAnsi="Times New Roman" w:cs="Times New Roman"/>
              </w:rPr>
              <w:t>de</w:t>
            </w:r>
            <w:r>
              <w:rPr>
                <w:rFonts w:ascii="Times New Roman" w:hAnsi="Times New Roman" w:cs="Times New Roman"/>
                <w:spacing w:val="-10"/>
              </w:rPr>
              <w:t xml:space="preserve"> </w:t>
            </w:r>
            <w:r>
              <w:rPr>
                <w:rFonts w:ascii="Times New Roman" w:hAnsi="Times New Roman" w:cs="Times New Roman"/>
              </w:rPr>
              <w:t>certificados,</w:t>
            </w:r>
            <w:r>
              <w:rPr>
                <w:rFonts w:ascii="Times New Roman" w:hAnsi="Times New Roman" w:cs="Times New Roman"/>
                <w:spacing w:val="-10"/>
              </w:rPr>
              <w:t xml:space="preserve"> </w:t>
            </w:r>
            <w:r>
              <w:rPr>
                <w:rFonts w:ascii="Times New Roman" w:hAnsi="Times New Roman" w:cs="Times New Roman"/>
              </w:rPr>
              <w:t>facturas,</w:t>
            </w:r>
            <w:r>
              <w:rPr>
                <w:rFonts w:ascii="Times New Roman" w:hAnsi="Times New Roman" w:cs="Times New Roman"/>
                <w:spacing w:val="-10"/>
              </w:rPr>
              <w:t xml:space="preserve"> </w:t>
            </w:r>
            <w:r>
              <w:rPr>
                <w:rFonts w:ascii="Times New Roman" w:hAnsi="Times New Roman" w:cs="Times New Roman"/>
              </w:rPr>
              <w:t>convenios</w:t>
            </w:r>
            <w:r>
              <w:rPr>
                <w:rFonts w:ascii="Times New Roman" w:hAnsi="Times New Roman" w:cs="Times New Roman"/>
                <w:spacing w:val="-9"/>
              </w:rPr>
              <w:t xml:space="preserve"> </w:t>
            </w:r>
            <w:r>
              <w:rPr>
                <w:rFonts w:ascii="Times New Roman" w:hAnsi="Times New Roman" w:cs="Times New Roman"/>
              </w:rPr>
              <w:t>o contratos</w:t>
            </w:r>
            <w:r>
              <w:rPr>
                <w:rFonts w:ascii="Times New Roman" w:hAnsi="Times New Roman" w:cs="Times New Roman"/>
                <w:spacing w:val="-12"/>
              </w:rPr>
              <w:t xml:space="preserve"> </w:t>
            </w:r>
            <w:r>
              <w:rPr>
                <w:rFonts w:ascii="Times New Roman" w:hAnsi="Times New Roman" w:cs="Times New Roman"/>
              </w:rPr>
              <w:t>que</w:t>
            </w:r>
            <w:r>
              <w:rPr>
                <w:rFonts w:ascii="Times New Roman" w:hAnsi="Times New Roman" w:cs="Times New Roman"/>
                <w:spacing w:val="-12"/>
              </w:rPr>
              <w:t xml:space="preserve"> </w:t>
            </w:r>
            <w:r>
              <w:rPr>
                <w:rFonts w:ascii="Times New Roman" w:hAnsi="Times New Roman" w:cs="Times New Roman"/>
              </w:rPr>
              <w:t>acrediten</w:t>
            </w:r>
            <w:r>
              <w:rPr>
                <w:rFonts w:ascii="Times New Roman" w:hAnsi="Times New Roman" w:cs="Times New Roman"/>
                <w:spacing w:val="-12"/>
              </w:rPr>
              <w:t xml:space="preserve"> </w:t>
            </w:r>
            <w:r>
              <w:rPr>
                <w:rFonts w:ascii="Times New Roman" w:hAnsi="Times New Roman" w:cs="Times New Roman"/>
              </w:rPr>
              <w:t>la</w:t>
            </w:r>
            <w:r>
              <w:rPr>
                <w:rFonts w:ascii="Times New Roman" w:hAnsi="Times New Roman" w:cs="Times New Roman"/>
                <w:spacing w:val="-13"/>
              </w:rPr>
              <w:t xml:space="preserve"> </w:t>
            </w:r>
            <w:r>
              <w:rPr>
                <w:rFonts w:ascii="Times New Roman" w:hAnsi="Times New Roman" w:cs="Times New Roman"/>
              </w:rPr>
              <w:t>experiencia</w:t>
            </w:r>
            <w:r>
              <w:rPr>
                <w:rFonts w:ascii="Times New Roman" w:hAnsi="Times New Roman" w:cs="Times New Roman"/>
                <w:spacing w:val="-12"/>
              </w:rPr>
              <w:t xml:space="preserve"> </w:t>
            </w:r>
            <w:r>
              <w:rPr>
                <w:rFonts w:ascii="Times New Roman" w:hAnsi="Times New Roman" w:cs="Times New Roman"/>
              </w:rPr>
              <w:t>en</w:t>
            </w:r>
            <w:r>
              <w:rPr>
                <w:rFonts w:ascii="Times New Roman" w:hAnsi="Times New Roman" w:cs="Times New Roman"/>
                <w:spacing w:val="-12"/>
              </w:rPr>
              <w:t xml:space="preserve"> </w:t>
            </w:r>
            <w:r>
              <w:rPr>
                <w:rFonts w:ascii="Times New Roman" w:hAnsi="Times New Roman" w:cs="Times New Roman"/>
              </w:rPr>
              <w:t>los</w:t>
            </w:r>
            <w:r>
              <w:rPr>
                <w:rFonts w:ascii="Times New Roman" w:hAnsi="Times New Roman" w:cs="Times New Roman"/>
                <w:spacing w:val="-12"/>
              </w:rPr>
              <w:t xml:space="preserve"> </w:t>
            </w:r>
            <w:r>
              <w:rPr>
                <w:rFonts w:ascii="Times New Roman" w:hAnsi="Times New Roman" w:cs="Times New Roman"/>
              </w:rPr>
              <w:t>últimos</w:t>
            </w:r>
            <w:r>
              <w:rPr>
                <w:rFonts w:ascii="Times New Roman" w:hAnsi="Times New Roman" w:cs="Times New Roman"/>
                <w:spacing w:val="-14"/>
              </w:rPr>
              <w:t xml:space="preserve"> </w:t>
            </w:r>
            <w:r>
              <w:rPr>
                <w:rFonts w:ascii="Times New Roman" w:hAnsi="Times New Roman" w:cs="Times New Roman"/>
              </w:rPr>
              <w:t>5</w:t>
            </w:r>
            <w:r>
              <w:rPr>
                <w:rFonts w:ascii="Times New Roman" w:hAnsi="Times New Roman" w:cs="Times New Roman"/>
                <w:spacing w:val="-12"/>
              </w:rPr>
              <w:t xml:space="preserve"> </w:t>
            </w:r>
            <w:r>
              <w:rPr>
                <w:rFonts w:ascii="Times New Roman" w:hAnsi="Times New Roman" w:cs="Times New Roman"/>
              </w:rPr>
              <w:t>años</w:t>
            </w:r>
            <w:r>
              <w:rPr>
                <w:rFonts w:ascii="Times New Roman" w:hAnsi="Times New Roman" w:cs="Times New Roman"/>
                <w:spacing w:val="-12"/>
              </w:rPr>
              <w:t xml:space="preserve"> </w:t>
            </w:r>
            <w:r>
              <w:rPr>
                <w:rFonts w:ascii="Times New Roman" w:hAnsi="Times New Roman" w:cs="Times New Roman"/>
              </w:rPr>
              <w:t>por</w:t>
            </w:r>
          </w:p>
          <w:p>
            <w:pPr>
              <w:pStyle w:val="TableParagraph"/>
              <w:spacing w:line="248" w:lineRule="exact"/>
              <w:ind w:left="172"/>
              <w:jc w:val="both"/>
              <w:rPr>
                <w:rFonts w:ascii="Times New Roman" w:hAnsi="Times New Roman" w:cs="Times New Roman"/>
              </w:rPr>
            </w:pPr>
            <w:r>
              <w:rPr>
                <w:rFonts w:ascii="Times New Roman" w:hAnsi="Times New Roman" w:cs="Times New Roman"/>
              </w:rPr>
              <w:t>-al</w:t>
            </w:r>
            <w:r>
              <w:rPr>
                <w:rFonts w:ascii="Times New Roman" w:hAnsi="Times New Roman" w:cs="Times New Roman"/>
                <w:spacing w:val="-3"/>
              </w:rPr>
              <w:t xml:space="preserve"> </w:t>
            </w:r>
            <w:r>
              <w:rPr>
                <w:rFonts w:ascii="Times New Roman" w:hAnsi="Times New Roman" w:cs="Times New Roman"/>
              </w:rPr>
              <w:t>menos-</w:t>
            </w:r>
            <w:r>
              <w:rPr>
                <w:rFonts w:ascii="Times New Roman" w:hAnsi="Times New Roman" w:cs="Times New Roman"/>
                <w:spacing w:val="-3"/>
              </w:rPr>
              <w:t xml:space="preserve"> </w:t>
            </w:r>
            <w:r>
              <w:rPr>
                <w:rFonts w:ascii="Times New Roman" w:hAnsi="Times New Roman" w:cs="Times New Roman"/>
              </w:rPr>
              <w:t>el</w:t>
            </w:r>
            <w:r>
              <w:rPr>
                <w:rFonts w:ascii="Times New Roman" w:hAnsi="Times New Roman" w:cs="Times New Roman"/>
                <w:spacing w:val="-2"/>
              </w:rPr>
              <w:t xml:space="preserve"> </w:t>
            </w:r>
            <w:r>
              <w:rPr>
                <w:rFonts w:ascii="Times New Roman" w:hAnsi="Times New Roman" w:cs="Times New Roman"/>
              </w:rPr>
              <w:t>100%</w:t>
            </w:r>
            <w:r>
              <w:rPr>
                <w:rFonts w:ascii="Times New Roman" w:hAnsi="Times New Roman" w:cs="Times New Roman"/>
                <w:spacing w:val="-3"/>
              </w:rPr>
              <w:t xml:space="preserve"> </w:t>
            </w:r>
            <w:r>
              <w:rPr>
                <w:rFonts w:ascii="Times New Roman" w:hAnsi="Times New Roman" w:cs="Times New Roman"/>
              </w:rPr>
              <w:t>del</w:t>
            </w:r>
            <w:r>
              <w:rPr>
                <w:rFonts w:ascii="Times New Roman" w:hAnsi="Times New Roman" w:cs="Times New Roman"/>
                <w:spacing w:val="-4"/>
              </w:rPr>
              <w:t xml:space="preserve"> </w:t>
            </w:r>
            <w:r>
              <w:rPr>
                <w:rFonts w:ascii="Times New Roman" w:hAnsi="Times New Roman" w:cs="Times New Roman"/>
              </w:rPr>
              <w:t>monto</w:t>
            </w:r>
            <w:r>
              <w:rPr>
                <w:rFonts w:ascii="Times New Roman" w:hAnsi="Times New Roman" w:cs="Times New Roman"/>
                <w:spacing w:val="-3"/>
              </w:rPr>
              <w:t xml:space="preserve"> </w:t>
            </w:r>
            <w:r>
              <w:rPr>
                <w:rFonts w:ascii="Times New Roman" w:hAnsi="Times New Roman" w:cs="Times New Roman"/>
              </w:rPr>
              <w:t>del</w:t>
            </w:r>
            <w:r>
              <w:rPr>
                <w:rFonts w:ascii="Times New Roman" w:hAnsi="Times New Roman" w:cs="Times New Roman"/>
                <w:spacing w:val="-2"/>
              </w:rPr>
              <w:t xml:space="preserve"> contrato.</w:t>
            </w:r>
          </w:p>
        </w:tc>
      </w:tr>
    </w:tbl>
    <w:p>
      <w:pPr>
        <w:pStyle w:val="Ttulo2"/>
        <w:ind w:left="426" w:firstLine="0"/>
        <w:jc w:val="both"/>
        <w:rPr>
          <w:rFonts w:ascii="Times New Roman" w:hAnsi="Times New Roman" w:cs="Times New Roman"/>
          <w:b w:val="0"/>
          <w:bCs w:val="0"/>
          <w:color w:val="000000"/>
          <w:lang w:val="es-ES"/>
        </w:rPr>
        <w:sectPr>
          <w:headerReference w:type="even" r:id="rId29"/>
          <w:headerReference w:type="default" r:id="rId30"/>
          <w:footerReference w:type="even" r:id="rId31"/>
          <w:footerReference w:type="default" r:id="rId32"/>
          <w:footnotePr>
            <w:numRestart w:val="eachSect"/>
          </w:footnotePr>
          <w:pgSz w:w="11906" w:h="16838" w:code="9"/>
          <w:pgMar w:top="1440" w:right="1440" w:bottom="1440" w:left="1440" w:header="720" w:footer="720" w:gutter="0"/>
          <w:paperSrc w:first="15" w:other="15"/>
          <w:cols w:space="720"/>
          <w:noEndnote/>
          <w:docGrid w:linePitch="326"/>
        </w:sectPr>
      </w:pPr>
    </w:p>
    <w:p>
      <w:pPr>
        <w:pStyle w:val="Secciones"/>
        <w:rPr>
          <w:rFonts w:ascii="Times New Roman" w:hAnsi="Times New Roman"/>
        </w:rPr>
      </w:pPr>
      <w:bookmarkStart w:id="681" w:name="_Toc175256925"/>
      <w:bookmarkStart w:id="682" w:name="_Toc450041029"/>
      <w:bookmarkStart w:id="683" w:name="_Toc41971244"/>
      <w:r>
        <w:rPr>
          <w:rFonts w:ascii="Times New Roman" w:hAnsi="Times New Roman"/>
        </w:rPr>
        <w:lastRenderedPageBreak/>
        <w:t>Sección IV. Países Elegibles</w:t>
      </w:r>
      <w:bookmarkEnd w:id="681"/>
    </w:p>
    <w:p>
      <w:pPr>
        <w:jc w:val="center"/>
        <w:rPr>
          <w:b/>
          <w:bCs/>
          <w:color w:val="000000"/>
          <w:sz w:val="22"/>
          <w:szCs w:val="22"/>
          <w:lang w:val="es-ES"/>
        </w:rPr>
      </w:pPr>
      <w:r>
        <w:rPr>
          <w:b/>
          <w:bCs/>
          <w:color w:val="000000"/>
          <w:sz w:val="22"/>
          <w:szCs w:val="22"/>
          <w:lang w:val="es-ES"/>
        </w:rPr>
        <w:t xml:space="preserve">Elegibilidad para el suministro de bienes, la construcción de obras </w:t>
      </w:r>
    </w:p>
    <w:p>
      <w:pPr>
        <w:jc w:val="center"/>
        <w:rPr>
          <w:b/>
          <w:bCs/>
          <w:color w:val="000000"/>
          <w:sz w:val="22"/>
          <w:szCs w:val="22"/>
          <w:lang w:val="es-ES"/>
        </w:rPr>
      </w:pPr>
      <w:r>
        <w:rPr>
          <w:b/>
          <w:bCs/>
          <w:color w:val="000000"/>
          <w:sz w:val="22"/>
          <w:szCs w:val="22"/>
          <w:lang w:val="es-ES"/>
        </w:rPr>
        <w:t>y la prestación de servicios en adquisiciones financiadas por el Banco</w:t>
      </w:r>
    </w:p>
    <w:p>
      <w:pPr>
        <w:rPr>
          <w:b/>
          <w:bCs/>
          <w:color w:val="000000"/>
          <w:sz w:val="22"/>
          <w:szCs w:val="22"/>
          <w:lang w:val="es-ES"/>
        </w:rPr>
      </w:pPr>
    </w:p>
    <w:p>
      <w:pPr>
        <w:spacing w:before="120" w:after="120"/>
        <w:jc w:val="both"/>
        <w:rPr>
          <w:i/>
          <w:iCs/>
          <w:snapToGrid w:val="0"/>
          <w:color w:val="000000"/>
          <w:sz w:val="22"/>
          <w:szCs w:val="22"/>
          <w:lang w:val="es-ES"/>
        </w:rPr>
      </w:pPr>
      <w:r>
        <w:rPr>
          <w:b/>
          <w:bCs/>
          <w:i/>
          <w:iCs/>
          <w:snapToGrid w:val="0"/>
          <w:color w:val="000000"/>
          <w:sz w:val="22"/>
          <w:szCs w:val="22"/>
          <w:lang w:val="es-ES"/>
        </w:rPr>
        <w:t>1) Países Miembros cuando el financiamiento provenga del Banco Interamericano de Desarrollo</w:t>
      </w:r>
      <w:r>
        <w:rPr>
          <w:i/>
          <w:iCs/>
          <w:snapToGrid w:val="0"/>
          <w:color w:val="000000"/>
          <w:sz w:val="22"/>
          <w:szCs w:val="22"/>
          <w:lang w:val="es-ES"/>
        </w:rPr>
        <w:t>.</w:t>
      </w:r>
    </w:p>
    <w:p>
      <w:pPr>
        <w:spacing w:before="120" w:after="120"/>
        <w:jc w:val="both"/>
        <w:rPr>
          <w:iCs/>
          <w:snapToGrid w:val="0"/>
          <w:color w:val="000000"/>
          <w:sz w:val="22"/>
          <w:szCs w:val="22"/>
          <w:lang w:val="es-ES"/>
        </w:rPr>
      </w:pPr>
      <w:r>
        <w:rPr>
          <w:iCs/>
          <w:snapToGrid w:val="0"/>
          <w:color w:val="000000"/>
          <w:sz w:val="22"/>
          <w:szCs w:val="22"/>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pPr>
        <w:jc w:val="both"/>
        <w:rPr>
          <w:b/>
          <w:i/>
          <w:color w:val="000000"/>
          <w:sz w:val="22"/>
          <w:szCs w:val="22"/>
          <w:lang w:val="es-ES"/>
        </w:rPr>
      </w:pPr>
      <w:r>
        <w:rPr>
          <w:b/>
          <w:i/>
          <w:color w:val="000000"/>
          <w:sz w:val="22"/>
          <w:szCs w:val="22"/>
          <w:lang w:val="es-ES"/>
        </w:rPr>
        <w:t>Territorios elegibles</w:t>
      </w:r>
    </w:p>
    <w:p>
      <w:pPr>
        <w:numPr>
          <w:ilvl w:val="0"/>
          <w:numId w:val="37"/>
        </w:numPr>
        <w:jc w:val="both"/>
        <w:rPr>
          <w:color w:val="000000"/>
          <w:sz w:val="22"/>
          <w:szCs w:val="22"/>
          <w:lang w:val="es-ES"/>
        </w:rPr>
      </w:pPr>
      <w:r>
        <w:rPr>
          <w:color w:val="000000"/>
          <w:sz w:val="22"/>
          <w:szCs w:val="22"/>
          <w:lang w:val="es-ES"/>
        </w:rPr>
        <w:t xml:space="preserve">Guadalupe, Guyana Francesa, Martinica, Reunión – por ser Departamentos de Francia. </w:t>
      </w:r>
    </w:p>
    <w:p>
      <w:pPr>
        <w:numPr>
          <w:ilvl w:val="0"/>
          <w:numId w:val="37"/>
        </w:numPr>
        <w:jc w:val="both"/>
        <w:rPr>
          <w:color w:val="000000"/>
          <w:sz w:val="22"/>
          <w:szCs w:val="22"/>
          <w:lang w:val="es-ES"/>
        </w:rPr>
      </w:pPr>
      <w:r>
        <w:rPr>
          <w:color w:val="000000"/>
          <w:sz w:val="22"/>
          <w:szCs w:val="22"/>
          <w:lang w:val="es-ES"/>
        </w:rPr>
        <w:t>Islas Vírgenes Estadounidenses, Puerto Rico, Guam – por ser Territorios de los Estados Unidos de América.</w:t>
      </w:r>
    </w:p>
    <w:p>
      <w:pPr>
        <w:numPr>
          <w:ilvl w:val="0"/>
          <w:numId w:val="37"/>
        </w:numPr>
        <w:jc w:val="both"/>
        <w:rPr>
          <w:color w:val="000000"/>
          <w:sz w:val="22"/>
          <w:szCs w:val="22"/>
          <w:lang w:val="es-ES"/>
        </w:rPr>
      </w:pPr>
      <w:r>
        <w:rPr>
          <w:color w:val="000000"/>
          <w:sz w:val="22"/>
          <w:szCs w:val="22"/>
          <w:lang w:val="es-ES"/>
        </w:rPr>
        <w:t>Aruba – por ser País Constituyente del Reino de los Países Bajos; y Bonaire, Curazao, Sint Maarten, Sint Eustatius – por ser Departamentos de Reino de los Países Bajos.</w:t>
      </w:r>
    </w:p>
    <w:p>
      <w:pPr>
        <w:numPr>
          <w:ilvl w:val="0"/>
          <w:numId w:val="37"/>
        </w:numPr>
        <w:jc w:val="both"/>
        <w:rPr>
          <w:color w:val="000000"/>
          <w:sz w:val="22"/>
          <w:szCs w:val="22"/>
          <w:lang w:val="es-ES"/>
        </w:rPr>
      </w:pPr>
      <w:r>
        <w:rPr>
          <w:color w:val="000000"/>
          <w:sz w:val="22"/>
          <w:szCs w:val="22"/>
          <w:lang w:val="es-ES"/>
        </w:rPr>
        <w:t>Hong Kong – por ser Región Especial Administrativa de la República Popular de China.</w:t>
      </w:r>
    </w:p>
    <w:p>
      <w:pPr>
        <w:jc w:val="both"/>
        <w:rPr>
          <w:color w:val="000000"/>
          <w:sz w:val="22"/>
          <w:szCs w:val="22"/>
          <w:lang w:val="es-ES"/>
        </w:rPr>
      </w:pPr>
    </w:p>
    <w:p>
      <w:pPr>
        <w:jc w:val="both"/>
        <w:rPr>
          <w:b/>
          <w:bCs/>
          <w:i/>
          <w:iCs/>
          <w:color w:val="000000"/>
          <w:sz w:val="22"/>
          <w:szCs w:val="22"/>
          <w:lang w:val="es-ES"/>
        </w:rPr>
      </w:pPr>
      <w:r>
        <w:rPr>
          <w:b/>
          <w:bCs/>
          <w:i/>
          <w:iCs/>
          <w:color w:val="000000"/>
          <w:sz w:val="22"/>
          <w:szCs w:val="22"/>
          <w:lang w:val="es-ES"/>
        </w:rPr>
        <w:t>2) Criterios para determinar Nacionalidad y el país de origen de los bienes y servicios</w:t>
      </w:r>
    </w:p>
    <w:p>
      <w:pPr>
        <w:jc w:val="both"/>
        <w:rPr>
          <w:color w:val="000000"/>
          <w:sz w:val="22"/>
          <w:szCs w:val="22"/>
          <w:lang w:val="es-ES"/>
        </w:rPr>
      </w:pPr>
    </w:p>
    <w:p>
      <w:pPr>
        <w:jc w:val="both"/>
        <w:rPr>
          <w:color w:val="000000"/>
          <w:sz w:val="22"/>
          <w:szCs w:val="22"/>
          <w:lang w:val="es-ES"/>
        </w:rPr>
      </w:pPr>
      <w:r>
        <w:rPr>
          <w:color w:val="000000"/>
          <w:sz w:val="22"/>
          <w:szCs w:val="22"/>
          <w:lang w:val="es-ES"/>
        </w:rPr>
        <w:t>Para efectuar la determinación sobre: (a) la nacionalidad de las firmas e individuos elegibles para participar en contratos financiados por el Banco y (b) el país de origen de los bienes y servicios, se utilizarán los siguientes criterios:</w:t>
      </w:r>
    </w:p>
    <w:p>
      <w:pPr>
        <w:jc w:val="both"/>
        <w:rPr>
          <w:color w:val="000000"/>
          <w:sz w:val="22"/>
          <w:szCs w:val="22"/>
          <w:lang w:val="es-ES"/>
        </w:rPr>
      </w:pPr>
      <w:r>
        <w:rPr>
          <w:b/>
          <w:color w:val="000000"/>
          <w:sz w:val="22"/>
          <w:szCs w:val="22"/>
          <w:u w:val="single"/>
          <w:lang w:val="es-ES"/>
        </w:rPr>
        <w:t>(A) Nacionalidad</w:t>
      </w:r>
    </w:p>
    <w:p>
      <w:pPr>
        <w:jc w:val="both"/>
        <w:rPr>
          <w:color w:val="000000"/>
          <w:sz w:val="22"/>
          <w:szCs w:val="22"/>
          <w:lang w:val="es-ES"/>
        </w:rPr>
      </w:pPr>
    </w:p>
    <w:p>
      <w:pPr>
        <w:ind w:left="360"/>
        <w:jc w:val="both"/>
        <w:rPr>
          <w:color w:val="000000"/>
          <w:sz w:val="22"/>
          <w:szCs w:val="22"/>
          <w:lang w:val="es-ES"/>
        </w:rPr>
      </w:pPr>
      <w:r>
        <w:rPr>
          <w:bCs/>
          <w:color w:val="000000"/>
          <w:sz w:val="22"/>
          <w:szCs w:val="22"/>
          <w:lang w:val="es-ES"/>
        </w:rPr>
        <w:t>(a)</w:t>
      </w:r>
      <w:r>
        <w:rPr>
          <w:b/>
          <w:color w:val="000000"/>
          <w:sz w:val="22"/>
          <w:szCs w:val="22"/>
          <w:lang w:val="es-ES"/>
        </w:rPr>
        <w:t xml:space="preserve"> Un individuo </w:t>
      </w:r>
      <w:r>
        <w:rPr>
          <w:bCs/>
          <w:color w:val="000000"/>
          <w:sz w:val="22"/>
          <w:szCs w:val="22"/>
          <w:lang w:val="es-ES"/>
        </w:rPr>
        <w:t>tiene la nacionalidad</w:t>
      </w:r>
      <w:r>
        <w:rPr>
          <w:color w:val="000000"/>
          <w:sz w:val="22"/>
          <w:szCs w:val="22"/>
          <w:lang w:val="es-ES"/>
        </w:rPr>
        <w:t xml:space="preserve"> de un país miembro del Banco si el o ella satisface uno de los siguientes requisitos:</w:t>
      </w:r>
    </w:p>
    <w:p>
      <w:pPr>
        <w:numPr>
          <w:ilvl w:val="1"/>
          <w:numId w:val="35"/>
        </w:numPr>
        <w:jc w:val="both"/>
        <w:rPr>
          <w:color w:val="000000"/>
          <w:sz w:val="22"/>
          <w:szCs w:val="22"/>
          <w:lang w:val="es-ES"/>
        </w:rPr>
      </w:pPr>
      <w:r>
        <w:rPr>
          <w:color w:val="000000"/>
          <w:sz w:val="22"/>
          <w:szCs w:val="22"/>
          <w:lang w:val="es-ES"/>
        </w:rPr>
        <w:t>es ciudadano de un país miembro; o</w:t>
      </w:r>
    </w:p>
    <w:p>
      <w:pPr>
        <w:numPr>
          <w:ilvl w:val="1"/>
          <w:numId w:val="35"/>
        </w:numPr>
        <w:jc w:val="both"/>
        <w:rPr>
          <w:color w:val="000000"/>
          <w:sz w:val="22"/>
          <w:szCs w:val="22"/>
          <w:lang w:val="es-ES"/>
        </w:rPr>
      </w:pPr>
      <w:r>
        <w:rPr>
          <w:color w:val="000000"/>
          <w:sz w:val="22"/>
          <w:szCs w:val="22"/>
          <w:lang w:val="es-ES"/>
        </w:rPr>
        <w:t>ha establecido su domicilio en un país miembro como residente “bona fide” y está legalmente autorizado para trabajar en dicho país.</w:t>
      </w:r>
    </w:p>
    <w:p>
      <w:pPr>
        <w:ind w:left="360"/>
        <w:jc w:val="both"/>
        <w:rPr>
          <w:color w:val="000000"/>
          <w:sz w:val="22"/>
          <w:szCs w:val="22"/>
          <w:lang w:val="es-ES"/>
        </w:rPr>
      </w:pPr>
      <w:r>
        <w:rPr>
          <w:bCs/>
          <w:color w:val="000000"/>
          <w:sz w:val="22"/>
          <w:szCs w:val="22"/>
          <w:lang w:val="es-ES"/>
        </w:rPr>
        <w:t>(b)</w:t>
      </w:r>
      <w:r>
        <w:rPr>
          <w:b/>
          <w:color w:val="000000"/>
          <w:sz w:val="22"/>
          <w:szCs w:val="22"/>
          <w:lang w:val="es-ES"/>
        </w:rPr>
        <w:t xml:space="preserve"> Una firma </w:t>
      </w:r>
      <w:r>
        <w:rPr>
          <w:color w:val="000000"/>
          <w:sz w:val="22"/>
          <w:szCs w:val="22"/>
          <w:lang w:val="es-ES"/>
        </w:rPr>
        <w:t>tiene la nacionalidad de un país miembro si satisface los dos siguientes requisitos:</w:t>
      </w:r>
    </w:p>
    <w:p>
      <w:pPr>
        <w:numPr>
          <w:ilvl w:val="0"/>
          <w:numId w:val="36"/>
        </w:numPr>
        <w:jc w:val="both"/>
        <w:rPr>
          <w:color w:val="000000"/>
          <w:sz w:val="22"/>
          <w:szCs w:val="22"/>
          <w:lang w:val="es-ES"/>
        </w:rPr>
      </w:pPr>
      <w:r>
        <w:rPr>
          <w:color w:val="000000"/>
          <w:sz w:val="22"/>
          <w:szCs w:val="22"/>
          <w:lang w:val="es-ES"/>
        </w:rPr>
        <w:t>está legalmente constituida o incorporada conforme a las leyes de un país miembro del Banco; y</w:t>
      </w:r>
    </w:p>
    <w:p>
      <w:pPr>
        <w:numPr>
          <w:ilvl w:val="0"/>
          <w:numId w:val="36"/>
        </w:numPr>
        <w:jc w:val="both"/>
        <w:rPr>
          <w:color w:val="000000"/>
          <w:sz w:val="22"/>
          <w:szCs w:val="22"/>
          <w:lang w:val="es-ES"/>
        </w:rPr>
      </w:pPr>
      <w:r>
        <w:rPr>
          <w:color w:val="000000"/>
          <w:sz w:val="22"/>
          <w:szCs w:val="22"/>
          <w:lang w:val="es-ES"/>
        </w:rPr>
        <w:t>más del cincuenta por ciento (50%) del capital de la firma es de propiedad de individuos o firmas de países miembros del Banco.</w:t>
      </w:r>
    </w:p>
    <w:p>
      <w:pPr>
        <w:jc w:val="both"/>
        <w:rPr>
          <w:color w:val="000000"/>
          <w:sz w:val="22"/>
          <w:szCs w:val="22"/>
          <w:lang w:val="es-ES"/>
        </w:rPr>
      </w:pPr>
    </w:p>
    <w:p>
      <w:pPr>
        <w:jc w:val="both"/>
        <w:rPr>
          <w:color w:val="000000"/>
          <w:sz w:val="22"/>
          <w:szCs w:val="22"/>
          <w:lang w:val="es-ES"/>
        </w:rPr>
      </w:pPr>
      <w:r>
        <w:rPr>
          <w:color w:val="000000"/>
          <w:sz w:val="22"/>
          <w:szCs w:val="22"/>
          <w:lang w:val="es-ES"/>
        </w:rPr>
        <w:t>Todos los socios de una asociación en participación, consorcio o asociación (APCA) con responsabilidad mancomunada y solidaria y todos los subcontratistas deben cumplir con los requisitos arriba establecidos.</w:t>
      </w:r>
    </w:p>
    <w:p>
      <w:pPr>
        <w:jc w:val="both"/>
        <w:rPr>
          <w:color w:val="000000"/>
          <w:sz w:val="22"/>
          <w:szCs w:val="22"/>
          <w:lang w:val="es-ES"/>
        </w:rPr>
      </w:pPr>
    </w:p>
    <w:p>
      <w:pPr>
        <w:jc w:val="both"/>
        <w:rPr>
          <w:color w:val="000000"/>
          <w:sz w:val="22"/>
          <w:szCs w:val="22"/>
          <w:lang w:val="es-ES"/>
        </w:rPr>
      </w:pPr>
      <w:r>
        <w:rPr>
          <w:b/>
          <w:color w:val="000000"/>
          <w:sz w:val="22"/>
          <w:szCs w:val="22"/>
          <w:u w:val="single"/>
          <w:lang w:val="es-ES"/>
        </w:rPr>
        <w:t>(B) Origen de los Bienes</w:t>
      </w:r>
    </w:p>
    <w:p>
      <w:pPr>
        <w:jc w:val="both"/>
        <w:rPr>
          <w:color w:val="000000"/>
          <w:sz w:val="22"/>
          <w:szCs w:val="22"/>
          <w:lang w:val="es-ES"/>
        </w:rPr>
      </w:pPr>
    </w:p>
    <w:p>
      <w:pPr>
        <w:jc w:val="both"/>
        <w:rPr>
          <w:color w:val="000000"/>
          <w:sz w:val="22"/>
          <w:szCs w:val="22"/>
          <w:lang w:val="es-ES"/>
        </w:rPr>
      </w:pPr>
      <w:r>
        <w:rPr>
          <w:color w:val="000000"/>
          <w:sz w:val="22"/>
          <w:szCs w:val="22"/>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pPr>
        <w:jc w:val="both"/>
        <w:rPr>
          <w:color w:val="000000"/>
          <w:sz w:val="22"/>
          <w:szCs w:val="22"/>
          <w:lang w:val="es-ES"/>
        </w:rPr>
      </w:pPr>
    </w:p>
    <w:p>
      <w:pPr>
        <w:jc w:val="both"/>
        <w:rPr>
          <w:color w:val="000000"/>
          <w:sz w:val="22"/>
          <w:szCs w:val="22"/>
          <w:lang w:val="es-ES"/>
        </w:rPr>
      </w:pPr>
      <w:r>
        <w:rPr>
          <w:color w:val="000000"/>
          <w:sz w:val="22"/>
          <w:szCs w:val="22"/>
          <w:lang w:val="es-ES"/>
        </w:rPr>
        <w:t xml:space="preserve">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w:t>
      </w:r>
      <w:r>
        <w:rPr>
          <w:color w:val="000000"/>
          <w:sz w:val="22"/>
          <w:szCs w:val="22"/>
          <w:lang w:val="es-ES"/>
        </w:rPr>
        <w:lastRenderedPageBreak/>
        <w:t>empacan y venden comercialmente como una sola unidad, el bien se considera que proviene del país en donde éste fue empacado y embarcado con destino al comprador.</w:t>
      </w:r>
    </w:p>
    <w:p>
      <w:pPr>
        <w:jc w:val="both"/>
        <w:rPr>
          <w:color w:val="000000"/>
          <w:sz w:val="22"/>
          <w:szCs w:val="22"/>
          <w:lang w:val="es-ES"/>
        </w:rPr>
      </w:pPr>
    </w:p>
    <w:p>
      <w:pPr>
        <w:pStyle w:val="aparagraphs"/>
        <w:spacing w:before="0" w:after="0"/>
        <w:rPr>
          <w:rFonts w:ascii="Times New Roman" w:hAnsi="Times New Roman"/>
          <w:snapToGrid/>
          <w:color w:val="000000"/>
          <w:lang w:val="es-ES"/>
        </w:rPr>
      </w:pPr>
      <w:r>
        <w:rPr>
          <w:rFonts w:ascii="Times New Roman" w:hAnsi="Times New Roman"/>
          <w:snapToGrid/>
          <w:color w:val="000000"/>
          <w:lang w:val="es-ES"/>
        </w:rPr>
        <w:t>Para efectos de determinación del origen de los bienes identificados como “hecho en la Unión Europea”, estos serán elegibles sin necesidad de identificar el correspondiente país específico de la Unión Europea.</w:t>
      </w:r>
    </w:p>
    <w:p>
      <w:pPr>
        <w:jc w:val="both"/>
        <w:rPr>
          <w:color w:val="000000"/>
          <w:sz w:val="22"/>
          <w:szCs w:val="22"/>
          <w:lang w:val="es-ES"/>
        </w:rPr>
      </w:pPr>
    </w:p>
    <w:p>
      <w:pPr>
        <w:jc w:val="both"/>
        <w:rPr>
          <w:color w:val="000000"/>
          <w:sz w:val="22"/>
          <w:szCs w:val="22"/>
          <w:lang w:val="es-ES"/>
        </w:rPr>
      </w:pPr>
      <w:r>
        <w:rPr>
          <w:color w:val="000000"/>
          <w:sz w:val="22"/>
          <w:szCs w:val="22"/>
          <w:lang w:val="es-ES"/>
        </w:rPr>
        <w:t>El origen de los materiales, partes o componentes de los bienes o la nacionalidad de la firma productora, ensambladora, distribuidora o vendedora de los bienes no determina el origen de los mismos</w:t>
      </w:r>
    </w:p>
    <w:p>
      <w:pPr>
        <w:jc w:val="both"/>
        <w:rPr>
          <w:color w:val="000000"/>
          <w:sz w:val="22"/>
          <w:szCs w:val="22"/>
          <w:lang w:val="es-ES"/>
        </w:rPr>
      </w:pPr>
    </w:p>
    <w:p>
      <w:pPr>
        <w:jc w:val="both"/>
        <w:rPr>
          <w:b/>
          <w:color w:val="000000"/>
          <w:sz w:val="22"/>
          <w:szCs w:val="22"/>
          <w:u w:val="single"/>
          <w:lang w:val="es-ES"/>
        </w:rPr>
      </w:pPr>
      <w:r>
        <w:rPr>
          <w:b/>
          <w:color w:val="000000"/>
          <w:sz w:val="22"/>
          <w:szCs w:val="22"/>
          <w:u w:val="single"/>
          <w:lang w:val="es-ES"/>
        </w:rPr>
        <w:t>(C) Origen de los Servicios</w:t>
      </w:r>
    </w:p>
    <w:p>
      <w:pPr>
        <w:jc w:val="both"/>
        <w:rPr>
          <w:b/>
          <w:color w:val="000000"/>
          <w:sz w:val="22"/>
          <w:szCs w:val="22"/>
          <w:u w:val="single"/>
          <w:lang w:val="es-ES"/>
        </w:rPr>
      </w:pPr>
    </w:p>
    <w:p>
      <w:pPr>
        <w:jc w:val="both"/>
        <w:rPr>
          <w:color w:val="000000"/>
          <w:lang w:val="es-ES"/>
        </w:rPr>
      </w:pPr>
      <w:r>
        <w:rPr>
          <w:color w:val="000000"/>
          <w:sz w:val="22"/>
          <w:szCs w:val="22"/>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pPr>
        <w:pStyle w:val="Subseccion"/>
        <w:rPr>
          <w:lang w:val="es-ES"/>
        </w:rPr>
        <w:sectPr>
          <w:headerReference w:type="default" r:id="rId33"/>
          <w:footnotePr>
            <w:numRestart w:val="eachSect"/>
          </w:footnotePr>
          <w:pgSz w:w="11906" w:h="16838" w:code="9"/>
          <w:pgMar w:top="1440" w:right="1440" w:bottom="1440" w:left="1440" w:header="720" w:footer="720" w:gutter="0"/>
          <w:paperSrc w:first="15" w:other="15"/>
          <w:cols w:space="720"/>
          <w:noEndnote/>
          <w:docGrid w:linePitch="326"/>
        </w:sectPr>
      </w:pPr>
    </w:p>
    <w:p>
      <w:pPr>
        <w:pStyle w:val="Subseccion"/>
        <w:rPr>
          <w:sz w:val="22"/>
          <w:szCs w:val="22"/>
          <w:lang w:val="es-ES"/>
        </w:rPr>
      </w:pPr>
      <w:r>
        <w:rPr>
          <w:sz w:val="22"/>
          <w:szCs w:val="22"/>
          <w:lang w:val="es-ES"/>
        </w:rPr>
        <w:lastRenderedPageBreak/>
        <w:t xml:space="preserve">Sección V. </w:t>
      </w:r>
      <w:bookmarkEnd w:id="682"/>
      <w:r>
        <w:rPr>
          <w:sz w:val="22"/>
          <w:szCs w:val="22"/>
          <w:lang w:val="es-ES"/>
        </w:rPr>
        <w:t>Formularios de la Oferta</w:t>
      </w:r>
    </w:p>
    <w:bookmarkEnd w:id="683"/>
    <w:p>
      <w:pPr>
        <w:spacing w:before="120" w:after="120"/>
        <w:ind w:left="180" w:right="288"/>
        <w:jc w:val="both"/>
        <w:rPr>
          <w:sz w:val="22"/>
          <w:szCs w:val="22"/>
          <w:u w:val="single"/>
          <w:lang w:val="es-ES"/>
        </w:rPr>
      </w:pPr>
    </w:p>
    <w:p>
      <w:pPr>
        <w:jc w:val="center"/>
        <w:rPr>
          <w:b/>
          <w:sz w:val="22"/>
          <w:szCs w:val="22"/>
          <w:lang w:val="es-ES"/>
        </w:rPr>
      </w:pPr>
      <w:r>
        <w:rPr>
          <w:b/>
          <w:sz w:val="22"/>
          <w:szCs w:val="22"/>
          <w:lang w:val="es-ES"/>
        </w:rPr>
        <w:t>Índice de Formularios de la Oferta</w:t>
      </w:r>
    </w:p>
    <w:p>
      <w:pPr>
        <w:rPr>
          <w:sz w:val="22"/>
          <w:szCs w:val="22"/>
          <w:lang w:val="es-ES"/>
        </w:rPr>
      </w:pP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szCs w:val="22"/>
          <w:lang w:val="es-ES"/>
        </w:rPr>
        <w:fldChar w:fldCharType="begin"/>
      </w:r>
      <w:r>
        <w:rPr>
          <w:rFonts w:ascii="Times New Roman" w:hAnsi="Times New Roman"/>
          <w:szCs w:val="22"/>
          <w:lang w:val="es-ES"/>
        </w:rPr>
        <w:instrText xml:space="preserve"> TOC \t "Formularios;1" </w:instrText>
      </w:r>
      <w:r>
        <w:rPr>
          <w:rFonts w:ascii="Times New Roman" w:hAnsi="Times New Roman"/>
          <w:szCs w:val="22"/>
          <w:lang w:val="es-ES"/>
        </w:rPr>
        <w:fldChar w:fldCharType="separate"/>
      </w:r>
      <w:r>
        <w:rPr>
          <w:rFonts w:ascii="Times New Roman" w:hAnsi="Times New Roman"/>
          <w:noProof/>
          <w:lang w:val="es-EC"/>
        </w:rPr>
        <w:t>Carta de la Oferta</w:t>
      </w:r>
      <w:r>
        <w:rPr>
          <w:rFonts w:ascii="Times New Roman" w:hAnsi="Times New Roman"/>
          <w:noProof/>
          <w:lang w:val="es-EC"/>
        </w:rPr>
        <w:tab/>
      </w:r>
      <w:r>
        <w:rPr>
          <w:rFonts w:ascii="Times New Roman" w:hAnsi="Times New Roman"/>
          <w:noProof/>
        </w:rPr>
        <w:fldChar w:fldCharType="begin"/>
      </w:r>
      <w:r>
        <w:rPr>
          <w:rFonts w:ascii="Times New Roman" w:hAnsi="Times New Roman"/>
          <w:noProof/>
          <w:lang w:val="es-EC"/>
        </w:rPr>
        <w:instrText xml:space="preserve"> PAGEREF _Toc175250617 \h </w:instrText>
      </w:r>
      <w:r>
        <w:rPr>
          <w:rFonts w:ascii="Times New Roman" w:hAnsi="Times New Roman"/>
          <w:noProof/>
        </w:rPr>
      </w:r>
      <w:r>
        <w:rPr>
          <w:rFonts w:ascii="Times New Roman" w:hAnsi="Times New Roman"/>
          <w:noProof/>
        </w:rPr>
        <w:fldChar w:fldCharType="separate"/>
      </w:r>
      <w:r>
        <w:rPr>
          <w:rFonts w:ascii="Times New Roman" w:hAnsi="Times New Roman"/>
          <w:noProof/>
          <w:lang w:val="es-EC"/>
        </w:rPr>
        <w:t>56</w:t>
      </w:r>
      <w:r>
        <w:rPr>
          <w:rFonts w:ascii="Times New Roman" w:hAnsi="Times New Roman"/>
          <w:noProof/>
        </w:rPr>
        <w:fldChar w:fldCharType="end"/>
      </w: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noProof/>
          <w:lang w:val="es-EC"/>
        </w:rPr>
        <w:t>Formulario de Información sobre el Oferente</w:t>
      </w:r>
      <w:r>
        <w:rPr>
          <w:rFonts w:ascii="Times New Roman" w:hAnsi="Times New Roman"/>
          <w:noProof/>
          <w:lang w:val="es-EC"/>
        </w:rPr>
        <w:tab/>
      </w:r>
      <w:r>
        <w:rPr>
          <w:rFonts w:ascii="Times New Roman" w:hAnsi="Times New Roman"/>
          <w:noProof/>
        </w:rPr>
        <w:fldChar w:fldCharType="begin"/>
      </w:r>
      <w:r>
        <w:rPr>
          <w:rFonts w:ascii="Times New Roman" w:hAnsi="Times New Roman"/>
          <w:noProof/>
          <w:lang w:val="es-EC"/>
        </w:rPr>
        <w:instrText xml:space="preserve"> PAGEREF _Toc175250618 \h </w:instrText>
      </w:r>
      <w:r>
        <w:rPr>
          <w:rFonts w:ascii="Times New Roman" w:hAnsi="Times New Roman"/>
          <w:noProof/>
        </w:rPr>
      </w:r>
      <w:r>
        <w:rPr>
          <w:rFonts w:ascii="Times New Roman" w:hAnsi="Times New Roman"/>
          <w:noProof/>
        </w:rPr>
        <w:fldChar w:fldCharType="separate"/>
      </w:r>
      <w:r>
        <w:rPr>
          <w:rFonts w:ascii="Times New Roman" w:hAnsi="Times New Roman"/>
          <w:noProof/>
          <w:lang w:val="es-EC"/>
        </w:rPr>
        <w:t>60</w:t>
      </w:r>
      <w:r>
        <w:rPr>
          <w:rFonts w:ascii="Times New Roman" w:hAnsi="Times New Roman"/>
          <w:noProof/>
        </w:rPr>
        <w:fldChar w:fldCharType="end"/>
      </w: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noProof/>
          <w:lang w:val="es-EC"/>
        </w:rPr>
        <w:t>Formulario de información sobre los miembros de la APCA</w:t>
      </w:r>
      <w:r>
        <w:rPr>
          <w:rFonts w:ascii="Times New Roman" w:hAnsi="Times New Roman"/>
          <w:noProof/>
          <w:lang w:val="es-EC"/>
        </w:rPr>
        <w:tab/>
      </w:r>
      <w:r>
        <w:rPr>
          <w:rFonts w:ascii="Times New Roman" w:hAnsi="Times New Roman"/>
          <w:noProof/>
        </w:rPr>
        <w:fldChar w:fldCharType="begin"/>
      </w:r>
      <w:r>
        <w:rPr>
          <w:rFonts w:ascii="Times New Roman" w:hAnsi="Times New Roman"/>
          <w:noProof/>
          <w:lang w:val="es-EC"/>
        </w:rPr>
        <w:instrText xml:space="preserve"> PAGEREF _Toc175250619 \h </w:instrText>
      </w:r>
      <w:r>
        <w:rPr>
          <w:rFonts w:ascii="Times New Roman" w:hAnsi="Times New Roman"/>
          <w:noProof/>
        </w:rPr>
      </w:r>
      <w:r>
        <w:rPr>
          <w:rFonts w:ascii="Times New Roman" w:hAnsi="Times New Roman"/>
          <w:noProof/>
        </w:rPr>
        <w:fldChar w:fldCharType="separate"/>
      </w:r>
      <w:r>
        <w:rPr>
          <w:rFonts w:ascii="Times New Roman" w:hAnsi="Times New Roman"/>
          <w:noProof/>
          <w:lang w:val="es-EC"/>
        </w:rPr>
        <w:t>62</w:t>
      </w:r>
      <w:r>
        <w:rPr>
          <w:rFonts w:ascii="Times New Roman" w:hAnsi="Times New Roman"/>
          <w:noProof/>
        </w:rPr>
        <w:fldChar w:fldCharType="end"/>
      </w: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noProof/>
          <w:lang w:val="es-EC"/>
        </w:rPr>
        <w:t>Formularios de Listas de Precios</w:t>
      </w:r>
      <w:r>
        <w:rPr>
          <w:rFonts w:ascii="Times New Roman" w:hAnsi="Times New Roman"/>
          <w:noProof/>
          <w:lang w:val="es-EC"/>
        </w:rPr>
        <w:tab/>
      </w:r>
      <w:r>
        <w:rPr>
          <w:rFonts w:ascii="Times New Roman" w:hAnsi="Times New Roman"/>
          <w:noProof/>
        </w:rPr>
        <w:fldChar w:fldCharType="begin"/>
      </w:r>
      <w:r>
        <w:rPr>
          <w:rFonts w:ascii="Times New Roman" w:hAnsi="Times New Roman"/>
          <w:noProof/>
          <w:lang w:val="es-EC"/>
        </w:rPr>
        <w:instrText xml:space="preserve"> PAGEREF _Toc175250620 \h </w:instrText>
      </w:r>
      <w:r>
        <w:rPr>
          <w:rFonts w:ascii="Times New Roman" w:hAnsi="Times New Roman"/>
          <w:noProof/>
        </w:rPr>
      </w:r>
      <w:r>
        <w:rPr>
          <w:rFonts w:ascii="Times New Roman" w:hAnsi="Times New Roman"/>
          <w:noProof/>
        </w:rPr>
        <w:fldChar w:fldCharType="separate"/>
      </w:r>
      <w:r>
        <w:rPr>
          <w:rFonts w:ascii="Times New Roman" w:hAnsi="Times New Roman"/>
          <w:noProof/>
          <w:lang w:val="es-EC"/>
        </w:rPr>
        <w:t>63</w:t>
      </w:r>
      <w:r>
        <w:rPr>
          <w:rFonts w:ascii="Times New Roman" w:hAnsi="Times New Roman"/>
          <w:noProof/>
        </w:rPr>
        <w:fldChar w:fldCharType="end"/>
      </w: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noProof/>
          <w:lang w:val="es-EC"/>
        </w:rPr>
        <w:t>Lista de Precios: Bienes fabricados fuera del País del Comprador a ser importados</w:t>
      </w:r>
      <w:r>
        <w:rPr>
          <w:rFonts w:ascii="Times New Roman" w:hAnsi="Times New Roman"/>
          <w:noProof/>
          <w:lang w:val="es-EC"/>
        </w:rPr>
        <w:tab/>
      </w:r>
      <w:r>
        <w:rPr>
          <w:rFonts w:ascii="Times New Roman" w:hAnsi="Times New Roman"/>
          <w:noProof/>
        </w:rPr>
        <w:fldChar w:fldCharType="begin"/>
      </w:r>
      <w:r>
        <w:rPr>
          <w:rFonts w:ascii="Times New Roman" w:hAnsi="Times New Roman"/>
          <w:noProof/>
          <w:lang w:val="es-EC"/>
        </w:rPr>
        <w:instrText xml:space="preserve"> PAGEREF _Toc175250621 \h </w:instrText>
      </w:r>
      <w:r>
        <w:rPr>
          <w:rFonts w:ascii="Times New Roman" w:hAnsi="Times New Roman"/>
          <w:noProof/>
        </w:rPr>
      </w:r>
      <w:r>
        <w:rPr>
          <w:rFonts w:ascii="Times New Roman" w:hAnsi="Times New Roman"/>
          <w:noProof/>
        </w:rPr>
        <w:fldChar w:fldCharType="separate"/>
      </w:r>
      <w:r>
        <w:rPr>
          <w:rFonts w:ascii="Times New Roman" w:hAnsi="Times New Roman"/>
          <w:noProof/>
          <w:lang w:val="es-EC"/>
        </w:rPr>
        <w:t>64</w:t>
      </w:r>
      <w:r>
        <w:rPr>
          <w:rFonts w:ascii="Times New Roman" w:hAnsi="Times New Roman"/>
          <w:noProof/>
        </w:rPr>
        <w:fldChar w:fldCharType="end"/>
      </w: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noProof/>
          <w:lang w:val="es-EC"/>
        </w:rPr>
        <w:t>Lista de Precios: Bienes fabricados fuera del País del Comprador, previamente importados*</w:t>
      </w:r>
      <w:r>
        <w:rPr>
          <w:rFonts w:ascii="Times New Roman" w:hAnsi="Times New Roman"/>
          <w:noProof/>
          <w:lang w:val="es-EC"/>
        </w:rPr>
        <w:tab/>
      </w:r>
      <w:r>
        <w:rPr>
          <w:rFonts w:ascii="Times New Roman" w:hAnsi="Times New Roman"/>
          <w:noProof/>
        </w:rPr>
        <w:fldChar w:fldCharType="begin"/>
      </w:r>
      <w:r>
        <w:rPr>
          <w:rFonts w:ascii="Times New Roman" w:hAnsi="Times New Roman"/>
          <w:noProof/>
          <w:lang w:val="es-EC"/>
        </w:rPr>
        <w:instrText xml:space="preserve"> PAGEREF _Toc175250622 \h </w:instrText>
      </w:r>
      <w:r>
        <w:rPr>
          <w:rFonts w:ascii="Times New Roman" w:hAnsi="Times New Roman"/>
          <w:noProof/>
        </w:rPr>
      </w:r>
      <w:r>
        <w:rPr>
          <w:rFonts w:ascii="Times New Roman" w:hAnsi="Times New Roman"/>
          <w:noProof/>
        </w:rPr>
        <w:fldChar w:fldCharType="separate"/>
      </w:r>
      <w:r>
        <w:rPr>
          <w:rFonts w:ascii="Times New Roman" w:hAnsi="Times New Roman"/>
          <w:noProof/>
          <w:lang w:val="es-EC"/>
        </w:rPr>
        <w:t>65</w:t>
      </w:r>
      <w:r>
        <w:rPr>
          <w:rFonts w:ascii="Times New Roman" w:hAnsi="Times New Roman"/>
          <w:noProof/>
        </w:rPr>
        <w:fldChar w:fldCharType="end"/>
      </w: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noProof/>
          <w:lang w:val="es-EC"/>
        </w:rPr>
        <w:t>Lista de Precios: Bienes fabricados en el País del Comprador</w:t>
      </w:r>
      <w:r>
        <w:rPr>
          <w:rFonts w:ascii="Times New Roman" w:hAnsi="Times New Roman"/>
          <w:noProof/>
          <w:lang w:val="es-EC"/>
        </w:rPr>
        <w:tab/>
      </w:r>
      <w:r>
        <w:rPr>
          <w:rFonts w:ascii="Times New Roman" w:hAnsi="Times New Roman"/>
          <w:noProof/>
        </w:rPr>
        <w:fldChar w:fldCharType="begin"/>
      </w:r>
      <w:r>
        <w:rPr>
          <w:rFonts w:ascii="Times New Roman" w:hAnsi="Times New Roman"/>
          <w:noProof/>
          <w:lang w:val="es-EC"/>
        </w:rPr>
        <w:instrText xml:space="preserve"> PAGEREF _Toc175250623 \h </w:instrText>
      </w:r>
      <w:r>
        <w:rPr>
          <w:rFonts w:ascii="Times New Roman" w:hAnsi="Times New Roman"/>
          <w:noProof/>
        </w:rPr>
      </w:r>
      <w:r>
        <w:rPr>
          <w:rFonts w:ascii="Times New Roman" w:hAnsi="Times New Roman"/>
          <w:noProof/>
        </w:rPr>
        <w:fldChar w:fldCharType="separate"/>
      </w:r>
      <w:r>
        <w:rPr>
          <w:rFonts w:ascii="Times New Roman" w:hAnsi="Times New Roman"/>
          <w:noProof/>
          <w:lang w:val="es-EC"/>
        </w:rPr>
        <w:t>67</w:t>
      </w:r>
      <w:r>
        <w:rPr>
          <w:rFonts w:ascii="Times New Roman" w:hAnsi="Times New Roman"/>
          <w:noProof/>
        </w:rPr>
        <w:fldChar w:fldCharType="end"/>
      </w: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noProof/>
          <w:lang w:val="es-EC"/>
        </w:rPr>
        <w:t>Precio y Cronograma de Cumplimiento: Servicios conexos</w:t>
      </w:r>
      <w:r>
        <w:rPr>
          <w:rFonts w:ascii="Times New Roman" w:hAnsi="Times New Roman"/>
          <w:noProof/>
          <w:lang w:val="es-EC"/>
        </w:rPr>
        <w:tab/>
      </w:r>
      <w:r>
        <w:rPr>
          <w:rFonts w:ascii="Times New Roman" w:hAnsi="Times New Roman"/>
          <w:noProof/>
        </w:rPr>
        <w:fldChar w:fldCharType="begin"/>
      </w:r>
      <w:r>
        <w:rPr>
          <w:rFonts w:ascii="Times New Roman" w:hAnsi="Times New Roman"/>
          <w:noProof/>
          <w:lang w:val="es-EC"/>
        </w:rPr>
        <w:instrText xml:space="preserve"> PAGEREF _Toc175250624 \h </w:instrText>
      </w:r>
      <w:r>
        <w:rPr>
          <w:rFonts w:ascii="Times New Roman" w:hAnsi="Times New Roman"/>
          <w:noProof/>
        </w:rPr>
      </w:r>
      <w:r>
        <w:rPr>
          <w:rFonts w:ascii="Times New Roman" w:hAnsi="Times New Roman"/>
          <w:noProof/>
        </w:rPr>
        <w:fldChar w:fldCharType="separate"/>
      </w:r>
      <w:r>
        <w:rPr>
          <w:rFonts w:ascii="Times New Roman" w:hAnsi="Times New Roman"/>
          <w:noProof/>
          <w:lang w:val="es-EC"/>
        </w:rPr>
        <w:t>68</w:t>
      </w:r>
      <w:r>
        <w:rPr>
          <w:rFonts w:ascii="Times New Roman" w:hAnsi="Times New Roman"/>
          <w:noProof/>
        </w:rPr>
        <w:fldChar w:fldCharType="end"/>
      </w: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noProof/>
          <w:lang w:val="es-EC"/>
        </w:rPr>
        <w:t>Formulario de Garantía de Mantenimiento de Oferta</w:t>
      </w:r>
      <w:r>
        <w:rPr>
          <w:rFonts w:ascii="Times New Roman" w:hAnsi="Times New Roman"/>
          <w:noProof/>
          <w:lang w:val="es-EC"/>
        </w:rPr>
        <w:tab/>
      </w:r>
      <w:r>
        <w:rPr>
          <w:rFonts w:ascii="Times New Roman" w:hAnsi="Times New Roman"/>
          <w:noProof/>
        </w:rPr>
        <w:fldChar w:fldCharType="begin"/>
      </w:r>
      <w:r>
        <w:rPr>
          <w:rFonts w:ascii="Times New Roman" w:hAnsi="Times New Roman"/>
          <w:noProof/>
          <w:lang w:val="es-EC"/>
        </w:rPr>
        <w:instrText xml:space="preserve"> PAGEREF _Toc175250625 \h </w:instrText>
      </w:r>
      <w:r>
        <w:rPr>
          <w:rFonts w:ascii="Times New Roman" w:hAnsi="Times New Roman"/>
          <w:noProof/>
        </w:rPr>
      </w:r>
      <w:r>
        <w:rPr>
          <w:rFonts w:ascii="Times New Roman" w:hAnsi="Times New Roman"/>
          <w:noProof/>
        </w:rPr>
        <w:fldChar w:fldCharType="separate"/>
      </w:r>
      <w:r>
        <w:rPr>
          <w:rFonts w:ascii="Times New Roman" w:hAnsi="Times New Roman"/>
          <w:noProof/>
          <w:lang w:val="es-EC"/>
        </w:rPr>
        <w:t>69</w:t>
      </w:r>
      <w:r>
        <w:rPr>
          <w:rFonts w:ascii="Times New Roman" w:hAnsi="Times New Roman"/>
          <w:noProof/>
        </w:rPr>
        <w:fldChar w:fldCharType="end"/>
      </w: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noProof/>
          <w:lang w:val="es-EC"/>
        </w:rPr>
        <w:t>Formulario de Garantía de Mantenimiento de Oferta</w:t>
      </w:r>
      <w:r>
        <w:rPr>
          <w:rFonts w:ascii="Times New Roman" w:hAnsi="Times New Roman"/>
          <w:noProof/>
          <w:lang w:val="es-EC"/>
        </w:rPr>
        <w:tab/>
      </w:r>
      <w:r>
        <w:rPr>
          <w:rFonts w:ascii="Times New Roman" w:hAnsi="Times New Roman"/>
          <w:noProof/>
        </w:rPr>
        <w:fldChar w:fldCharType="begin"/>
      </w:r>
      <w:r>
        <w:rPr>
          <w:rFonts w:ascii="Times New Roman" w:hAnsi="Times New Roman"/>
          <w:noProof/>
          <w:lang w:val="es-EC"/>
        </w:rPr>
        <w:instrText xml:space="preserve"> PAGEREF _Toc175250626 \h </w:instrText>
      </w:r>
      <w:r>
        <w:rPr>
          <w:rFonts w:ascii="Times New Roman" w:hAnsi="Times New Roman"/>
          <w:noProof/>
        </w:rPr>
      </w:r>
      <w:r>
        <w:rPr>
          <w:rFonts w:ascii="Times New Roman" w:hAnsi="Times New Roman"/>
          <w:noProof/>
        </w:rPr>
        <w:fldChar w:fldCharType="separate"/>
      </w:r>
      <w:r>
        <w:rPr>
          <w:rFonts w:ascii="Times New Roman" w:hAnsi="Times New Roman"/>
          <w:noProof/>
          <w:lang w:val="es-EC"/>
        </w:rPr>
        <w:t>71</w:t>
      </w:r>
      <w:r>
        <w:rPr>
          <w:rFonts w:ascii="Times New Roman" w:hAnsi="Times New Roman"/>
          <w:noProof/>
        </w:rPr>
        <w:fldChar w:fldCharType="end"/>
      </w: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noProof/>
          <w:lang w:val="es-EC"/>
        </w:rPr>
        <w:t>Formulario de Declaración de Mantenimiento de Oferta</w:t>
      </w:r>
      <w:r>
        <w:rPr>
          <w:rFonts w:ascii="Times New Roman" w:hAnsi="Times New Roman"/>
          <w:noProof/>
          <w:lang w:val="es-EC"/>
        </w:rPr>
        <w:tab/>
      </w:r>
      <w:r>
        <w:rPr>
          <w:rFonts w:ascii="Times New Roman" w:hAnsi="Times New Roman"/>
          <w:noProof/>
        </w:rPr>
        <w:fldChar w:fldCharType="begin"/>
      </w:r>
      <w:r>
        <w:rPr>
          <w:rFonts w:ascii="Times New Roman" w:hAnsi="Times New Roman"/>
          <w:noProof/>
          <w:lang w:val="es-EC"/>
        </w:rPr>
        <w:instrText xml:space="preserve"> PAGEREF _Toc175250627 \h </w:instrText>
      </w:r>
      <w:r>
        <w:rPr>
          <w:rFonts w:ascii="Times New Roman" w:hAnsi="Times New Roman"/>
          <w:noProof/>
        </w:rPr>
      </w:r>
      <w:r>
        <w:rPr>
          <w:rFonts w:ascii="Times New Roman" w:hAnsi="Times New Roman"/>
          <w:noProof/>
        </w:rPr>
        <w:fldChar w:fldCharType="separate"/>
      </w:r>
      <w:r>
        <w:rPr>
          <w:rFonts w:ascii="Times New Roman" w:hAnsi="Times New Roman"/>
          <w:noProof/>
          <w:lang w:val="es-EC"/>
        </w:rPr>
        <w:t>73</w:t>
      </w:r>
      <w:r>
        <w:rPr>
          <w:rFonts w:ascii="Times New Roman" w:hAnsi="Times New Roman"/>
          <w:noProof/>
        </w:rPr>
        <w:fldChar w:fldCharType="end"/>
      </w: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noProof/>
          <w:lang w:val="es-EC"/>
        </w:rPr>
        <w:t>Autorización del Fabricante</w:t>
      </w:r>
      <w:r>
        <w:rPr>
          <w:rFonts w:ascii="Times New Roman" w:hAnsi="Times New Roman"/>
          <w:noProof/>
          <w:lang w:val="es-EC"/>
        </w:rPr>
        <w:tab/>
      </w:r>
      <w:r>
        <w:rPr>
          <w:rFonts w:ascii="Times New Roman" w:hAnsi="Times New Roman"/>
          <w:noProof/>
        </w:rPr>
        <w:fldChar w:fldCharType="begin"/>
      </w:r>
      <w:r>
        <w:rPr>
          <w:rFonts w:ascii="Times New Roman" w:hAnsi="Times New Roman"/>
          <w:noProof/>
          <w:lang w:val="es-EC"/>
        </w:rPr>
        <w:instrText xml:space="preserve"> PAGEREF _Toc175250628 \h </w:instrText>
      </w:r>
      <w:r>
        <w:rPr>
          <w:rFonts w:ascii="Times New Roman" w:hAnsi="Times New Roman"/>
          <w:noProof/>
        </w:rPr>
      </w:r>
      <w:r>
        <w:rPr>
          <w:rFonts w:ascii="Times New Roman" w:hAnsi="Times New Roman"/>
          <w:noProof/>
        </w:rPr>
        <w:fldChar w:fldCharType="separate"/>
      </w:r>
      <w:r>
        <w:rPr>
          <w:rFonts w:ascii="Times New Roman" w:hAnsi="Times New Roman"/>
          <w:noProof/>
          <w:lang w:val="es-EC"/>
        </w:rPr>
        <w:t>75</w:t>
      </w:r>
      <w:r>
        <w:rPr>
          <w:rFonts w:ascii="Times New Roman" w:hAnsi="Times New Roman"/>
          <w:noProof/>
        </w:rPr>
        <w:fldChar w:fldCharType="end"/>
      </w:r>
    </w:p>
    <w:p>
      <w:pPr>
        <w:pStyle w:val="TDC1"/>
        <w:tabs>
          <w:tab w:val="right" w:leader="dot" w:pos="9350"/>
        </w:tabs>
        <w:rPr>
          <w:rFonts w:ascii="Times New Roman" w:hAnsi="Times New Roman"/>
          <w:szCs w:val="22"/>
          <w:lang w:val="es-ES"/>
        </w:rPr>
      </w:pPr>
      <w:r>
        <w:rPr>
          <w:rFonts w:ascii="Times New Roman" w:hAnsi="Times New Roman"/>
          <w:szCs w:val="22"/>
          <w:lang w:val="es-ES"/>
        </w:rPr>
        <w:fldChar w:fldCharType="end"/>
      </w:r>
      <w:r>
        <w:rPr>
          <w:rFonts w:ascii="Times New Roman" w:hAnsi="Times New Roman"/>
          <w:szCs w:val="22"/>
          <w:lang w:val="es-ES"/>
        </w:rPr>
        <w:br w:type="page"/>
      </w:r>
    </w:p>
    <w:p>
      <w:pPr>
        <w:pStyle w:val="Formularios"/>
        <w:rPr>
          <w:rFonts w:ascii="Times New Roman" w:hAnsi="Times New Roman" w:cs="Times New Roman"/>
        </w:rPr>
      </w:pPr>
      <w:bookmarkStart w:id="684" w:name="_Toc175250617"/>
      <w:r>
        <w:rPr>
          <w:rFonts w:ascii="Times New Roman" w:hAnsi="Times New Roman" w:cs="Times New Roman"/>
        </w:rPr>
        <w:lastRenderedPageBreak/>
        <w:t>Carta de la Oferta</w:t>
      </w:r>
      <w:bookmarkEnd w:id="68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tc>
          <w:tcPr>
            <w:tcW w:w="9067" w:type="dxa"/>
            <w:tcMar>
              <w:top w:w="57" w:type="dxa"/>
              <w:left w:w="57" w:type="dxa"/>
              <w:bottom w:w="57" w:type="dxa"/>
              <w:right w:w="57" w:type="dxa"/>
            </w:tcMar>
          </w:tcPr>
          <w:p>
            <w:pPr>
              <w:spacing w:before="120"/>
              <w:rPr>
                <w:i/>
                <w:sz w:val="22"/>
                <w:szCs w:val="22"/>
                <w:lang w:val="es-ES"/>
              </w:rPr>
            </w:pPr>
            <w:r>
              <w:rPr>
                <w:i/>
                <w:iCs/>
                <w:sz w:val="22"/>
                <w:szCs w:val="22"/>
                <w:lang w:val="es-ES"/>
              </w:rPr>
              <w:t>INSTRUCCIONES A LOS LICITANTES: ELIMINE ESTE RECUADRO UNA VEZ QUE HAYA COMPLETADO EL DOCUMENTO</w:t>
            </w:r>
          </w:p>
          <w:p>
            <w:pPr>
              <w:rPr>
                <w:i/>
                <w:sz w:val="22"/>
                <w:szCs w:val="22"/>
                <w:lang w:val="es-ES"/>
              </w:rPr>
            </w:pPr>
          </w:p>
          <w:p>
            <w:pPr>
              <w:rPr>
                <w:i/>
                <w:sz w:val="22"/>
                <w:szCs w:val="22"/>
                <w:lang w:val="es-ES"/>
              </w:rPr>
            </w:pPr>
            <w:r>
              <w:rPr>
                <w:i/>
                <w:iCs/>
                <w:sz w:val="22"/>
                <w:szCs w:val="22"/>
                <w:lang w:val="es-ES"/>
              </w:rPr>
              <w:t>El Oferente deberá preparar esta Carta de la Oferta en papel con membrete que indique claramente el nombre completo del Oferente y su dirección comercial.</w:t>
            </w:r>
          </w:p>
          <w:p>
            <w:pPr>
              <w:rPr>
                <w:i/>
                <w:sz w:val="22"/>
                <w:szCs w:val="22"/>
                <w:lang w:val="es-ES"/>
              </w:rPr>
            </w:pPr>
          </w:p>
          <w:p>
            <w:pPr>
              <w:rPr>
                <w:i/>
                <w:sz w:val="22"/>
                <w:szCs w:val="22"/>
                <w:lang w:val="es-ES"/>
              </w:rPr>
            </w:pPr>
            <w:r>
              <w:rPr>
                <w:i/>
                <w:iCs/>
                <w:sz w:val="22"/>
                <w:szCs w:val="22"/>
                <w:u w:val="single"/>
                <w:lang w:val="es-ES"/>
              </w:rPr>
              <w:t>Nota</w:t>
            </w:r>
            <w:r>
              <w:rPr>
                <w:i/>
                <w:iCs/>
                <w:sz w:val="22"/>
                <w:szCs w:val="22"/>
                <w:lang w:val="es-ES"/>
              </w:rPr>
              <w:t xml:space="preserve">: El texto en cursiva se incluye para ayudar a los Oferentes en la preparación de este formulario. </w:t>
            </w:r>
          </w:p>
        </w:tc>
      </w:tr>
    </w:tbl>
    <w:p>
      <w:pPr>
        <w:rPr>
          <w:sz w:val="22"/>
          <w:szCs w:val="22"/>
          <w:lang w:val="es-ES"/>
        </w:rPr>
      </w:pPr>
    </w:p>
    <w:sdt>
      <w:sdtPr>
        <w:rPr>
          <w:b/>
          <w:bCs/>
          <w:sz w:val="22"/>
          <w:szCs w:val="22"/>
          <w:lang w:val="es-EC"/>
        </w:rPr>
        <w:id w:val="-126174117"/>
        <w:placeholder>
          <w:docPart w:val="48CFA1933B434C5896B8907C113D8A4C"/>
        </w:placeholder>
        <w:date>
          <w:dateFormat w:val="M/d/yyyy"/>
          <w:lid w:val="en-US"/>
          <w:storeMappedDataAs w:val="dateTime"/>
          <w:calendar w:val="gregorian"/>
        </w:date>
      </w:sdtPr>
      <w:sdtContent>
        <w:p>
          <w:pPr>
            <w:spacing w:after="120"/>
            <w:jc w:val="right"/>
            <w:rPr>
              <w:b/>
              <w:bCs/>
              <w:color w:val="0070C0"/>
              <w:sz w:val="22"/>
              <w:szCs w:val="22"/>
              <w:lang w:val="es-EC"/>
            </w:rPr>
          </w:pPr>
          <w:r>
            <w:rPr>
              <w:b/>
              <w:bCs/>
              <w:sz w:val="22"/>
              <w:szCs w:val="22"/>
              <w:lang w:val="es-EC"/>
            </w:rPr>
            <w:t xml:space="preserve"> [Indique la fecha]</w:t>
          </w:r>
        </w:p>
      </w:sdtContent>
    </w:sdt>
    <w:p>
      <w:pPr>
        <w:spacing w:after="120"/>
        <w:jc w:val="both"/>
        <w:rPr>
          <w:sz w:val="22"/>
          <w:szCs w:val="22"/>
          <w:lang w:val="es-EC"/>
        </w:rPr>
      </w:pPr>
      <w:r>
        <w:rPr>
          <w:sz w:val="22"/>
          <w:szCs w:val="22"/>
          <w:lang w:val="es-EC"/>
        </w:rPr>
        <w:t xml:space="preserve">Número de Identificación: </w:t>
      </w:r>
      <w:r>
        <w:rPr>
          <w:iCs/>
          <w:sz w:val="22"/>
          <w:szCs w:val="22"/>
        </w:rPr>
        <w:t>EC-L1249-P00028</w:t>
      </w:r>
    </w:p>
    <w:p>
      <w:pPr>
        <w:spacing w:after="120"/>
        <w:jc w:val="both"/>
        <w:rPr>
          <w:i/>
          <w:iCs/>
          <w:color w:val="0070C0"/>
          <w:sz w:val="22"/>
          <w:szCs w:val="22"/>
          <w:lang w:val="es-EC"/>
        </w:rPr>
      </w:pPr>
      <w:r>
        <w:rPr>
          <w:sz w:val="22"/>
          <w:szCs w:val="22"/>
          <w:lang w:val="es-EC"/>
        </w:rPr>
        <w:t>Título del Contrato</w:t>
      </w:r>
      <w:r>
        <w:rPr>
          <w:i/>
          <w:iCs/>
          <w:sz w:val="22"/>
          <w:szCs w:val="22"/>
          <w:lang w:val="es-EC"/>
        </w:rPr>
        <w:t xml:space="preserve">: </w:t>
      </w:r>
      <w:r>
        <w:rPr>
          <w:iCs/>
          <w:sz w:val="22"/>
          <w:szCs w:val="22"/>
          <w:lang w:val="es-EC"/>
        </w:rPr>
        <w:t>Capacitación Herramientas de Comunicación</w:t>
      </w:r>
    </w:p>
    <w:p>
      <w:pPr>
        <w:spacing w:after="120"/>
        <w:jc w:val="both"/>
        <w:rPr>
          <w:i/>
          <w:iCs/>
          <w:sz w:val="22"/>
          <w:szCs w:val="22"/>
          <w:lang w:val="es-EC"/>
        </w:rPr>
      </w:pPr>
      <w:r>
        <w:rPr>
          <w:sz w:val="22"/>
          <w:szCs w:val="22"/>
          <w:lang w:val="es-EC"/>
        </w:rPr>
        <w:t>A: Procuraduría General del Estado</w:t>
      </w:r>
    </w:p>
    <w:p>
      <w:pPr>
        <w:jc w:val="both"/>
        <w:rPr>
          <w:b/>
          <w:sz w:val="22"/>
          <w:szCs w:val="22"/>
          <w:lang w:val="es-ES"/>
        </w:rPr>
      </w:pPr>
      <w:r>
        <w:rPr>
          <w:sz w:val="22"/>
          <w:szCs w:val="22"/>
          <w:lang w:val="es-ES"/>
        </w:rPr>
        <w:t>Para:</w:t>
      </w:r>
      <w:r>
        <w:rPr>
          <w:i/>
          <w:iCs/>
          <w:sz w:val="22"/>
          <w:szCs w:val="22"/>
          <w:lang w:val="es-ES"/>
        </w:rPr>
        <w:t xml:space="preserve"> </w:t>
      </w:r>
      <w:r>
        <w:rPr>
          <w:b/>
          <w:iCs/>
          <w:sz w:val="22"/>
          <w:szCs w:val="22"/>
          <w:lang w:val="es-ES"/>
        </w:rPr>
        <w:t>Procuraduría Gneral del Estado</w:t>
      </w:r>
    </w:p>
    <w:p>
      <w:pPr>
        <w:jc w:val="both"/>
        <w:rPr>
          <w:sz w:val="22"/>
          <w:szCs w:val="22"/>
          <w:lang w:val="es-ES"/>
        </w:rPr>
      </w:pPr>
    </w:p>
    <w:p>
      <w:pPr>
        <w:pStyle w:val="Prrafodelista"/>
        <w:numPr>
          <w:ilvl w:val="0"/>
          <w:numId w:val="100"/>
        </w:numPr>
        <w:spacing w:after="200"/>
        <w:ind w:left="431" w:hanging="431"/>
        <w:contextualSpacing w:val="0"/>
        <w:jc w:val="both"/>
        <w:rPr>
          <w:sz w:val="22"/>
          <w:szCs w:val="22"/>
          <w:lang w:val="es-ES"/>
        </w:rPr>
      </w:pPr>
      <w:r>
        <w:rPr>
          <w:b/>
          <w:bCs/>
          <w:sz w:val="22"/>
          <w:szCs w:val="22"/>
          <w:lang w:val="es-ES"/>
        </w:rPr>
        <w:t>Sin reservas:</w:t>
      </w:r>
      <w:r>
        <w:rPr>
          <w:sz w:val="22"/>
          <w:szCs w:val="22"/>
          <w:lang w:val="es-ES"/>
        </w:rPr>
        <w:t xml:space="preserve"> Hemos examinado el Documento de Licitación, incluidas las enmiendas emitidas de conformidad con la IAO 9, y no tenemos reserva alguna al respecto.</w:t>
      </w:r>
    </w:p>
    <w:p>
      <w:pPr>
        <w:pStyle w:val="Prrafodelista"/>
        <w:numPr>
          <w:ilvl w:val="0"/>
          <w:numId w:val="100"/>
        </w:numPr>
        <w:spacing w:after="200"/>
        <w:ind w:left="431" w:hanging="431"/>
        <w:contextualSpacing w:val="0"/>
        <w:jc w:val="both"/>
        <w:rPr>
          <w:sz w:val="22"/>
          <w:szCs w:val="22"/>
          <w:lang w:val="es-ES"/>
        </w:rPr>
      </w:pPr>
      <w:r>
        <w:rPr>
          <w:b/>
          <w:bCs/>
          <w:sz w:val="22"/>
          <w:szCs w:val="22"/>
          <w:lang w:val="es-ES"/>
        </w:rPr>
        <w:t>Elegibilidad:</w:t>
      </w:r>
      <w:r>
        <w:rPr>
          <w:sz w:val="22"/>
          <w:szCs w:val="22"/>
          <w:lang w:val="es-ES"/>
        </w:rPr>
        <w:t xml:space="preserve"> Cumplimos los requisitos de elegibilidad y no tenemos conflictos de intereses, de acuerdo con la IAO 5.</w:t>
      </w:r>
    </w:p>
    <w:p>
      <w:pPr>
        <w:pStyle w:val="Prrafodelista"/>
        <w:numPr>
          <w:ilvl w:val="0"/>
          <w:numId w:val="100"/>
        </w:numPr>
        <w:spacing w:after="200"/>
        <w:ind w:left="431" w:hanging="431"/>
        <w:contextualSpacing w:val="0"/>
        <w:jc w:val="both"/>
        <w:rPr>
          <w:sz w:val="22"/>
          <w:szCs w:val="22"/>
          <w:lang w:val="es-ES"/>
        </w:rPr>
      </w:pPr>
      <w:r>
        <w:rPr>
          <w:b/>
          <w:bCs/>
          <w:sz w:val="22"/>
          <w:szCs w:val="22"/>
          <w:lang w:val="es-ES"/>
        </w:rPr>
        <w:t>Declaración de Mantenimiento de Oferta/Propuesta:</w:t>
      </w:r>
      <w:r>
        <w:rPr>
          <w:sz w:val="22"/>
          <w:szCs w:val="22"/>
          <w:lang w:val="es-ES"/>
        </w:rPr>
        <w:t xml:space="preserve"> No hemos sido suspendidos ni declarados inelegibles por el Comprador sobre la base de la suscripción de una Declaración de Mantenimiento de Oferta/Propuesta en el País del Comprador de acuerdo con la IAO 5.6.</w:t>
      </w:r>
    </w:p>
    <w:p>
      <w:pPr>
        <w:pStyle w:val="Prrafodelista"/>
        <w:numPr>
          <w:ilvl w:val="0"/>
          <w:numId w:val="100"/>
        </w:numPr>
        <w:spacing w:after="200"/>
        <w:ind w:left="431" w:hanging="431"/>
        <w:contextualSpacing w:val="0"/>
        <w:jc w:val="both"/>
        <w:rPr>
          <w:sz w:val="22"/>
          <w:szCs w:val="22"/>
          <w:lang w:val="es-ES"/>
        </w:rPr>
      </w:pPr>
      <w:r>
        <w:rPr>
          <w:b/>
          <w:bCs/>
          <w:sz w:val="22"/>
          <w:szCs w:val="22"/>
          <w:lang w:val="es-ES"/>
        </w:rPr>
        <w:t>Cumplimiento de las disposiciones:</w:t>
      </w:r>
      <w:r>
        <w:rPr>
          <w:sz w:val="22"/>
          <w:szCs w:val="22"/>
          <w:lang w:val="es-ES"/>
        </w:rPr>
        <w:t xml:space="preserve"> Ofrecemos proveer los siguientes bienes de conformidad con el Documento de Licitación y de acuerdo con el Cronograma de Entregas establecido en los Requisitos de los Bienes y Servicios Conexos: </w:t>
      </w:r>
      <w:sdt>
        <w:sdtPr>
          <w:rPr>
            <w:b/>
            <w:bCs/>
            <w:i/>
            <w:iCs/>
            <w:sz w:val="22"/>
            <w:szCs w:val="22"/>
            <w:lang w:val="es-ES"/>
          </w:rPr>
          <w:id w:val="-54169246"/>
          <w:placeholder>
            <w:docPart w:val="DefaultPlaceholder_-1854013438"/>
          </w:placeholder>
          <w:comboBox>
            <w:listItem w:value="Elija un elemento."/>
          </w:comboBox>
        </w:sdtPr>
        <w:sdtContent>
          <w:r>
            <w:rPr>
              <w:b/>
              <w:bCs/>
              <w:i/>
              <w:iCs/>
              <w:sz w:val="22"/>
              <w:szCs w:val="22"/>
              <w:lang w:val="es-ES"/>
            </w:rPr>
            <w:t>[proporcione una descripción breve de los Bienes y Servicios Conexos]</w:t>
          </w:r>
        </w:sdtContent>
      </w:sdt>
      <w:r>
        <w:rPr>
          <w:i/>
          <w:iCs/>
          <w:sz w:val="22"/>
          <w:szCs w:val="22"/>
          <w:lang w:val="es-ES"/>
        </w:rPr>
        <w:t>.</w:t>
      </w:r>
    </w:p>
    <w:p>
      <w:pPr>
        <w:pStyle w:val="Prrafodelista"/>
        <w:numPr>
          <w:ilvl w:val="0"/>
          <w:numId w:val="100"/>
        </w:numPr>
        <w:spacing w:after="200"/>
        <w:ind w:left="431" w:hanging="431"/>
        <w:contextualSpacing w:val="0"/>
        <w:jc w:val="both"/>
        <w:rPr>
          <w:sz w:val="22"/>
          <w:szCs w:val="22"/>
          <w:lang w:val="es-ES"/>
        </w:rPr>
      </w:pPr>
      <w:r>
        <w:rPr>
          <w:b/>
          <w:bCs/>
          <w:sz w:val="22"/>
          <w:szCs w:val="22"/>
          <w:lang w:val="es-ES"/>
        </w:rPr>
        <w:t>Precio de la Oferta:</w:t>
      </w:r>
      <w:r>
        <w:rPr>
          <w:sz w:val="22"/>
          <w:szCs w:val="22"/>
          <w:lang w:val="es-ES"/>
        </w:rPr>
        <w:t xml:space="preserve"> El precio total de nuestra Oferta, excluyendo cualquier descuento ofrecido en el artículo (f) a continuación es: </w:t>
      </w:r>
    </w:p>
    <w:p>
      <w:pPr>
        <w:pStyle w:val="Prrafodelista"/>
        <w:spacing w:after="200"/>
        <w:ind w:left="1080"/>
        <w:jc w:val="both"/>
        <w:rPr>
          <w:color w:val="000000" w:themeColor="text1"/>
          <w:sz w:val="22"/>
          <w:szCs w:val="22"/>
          <w:u w:val="single"/>
          <w:lang w:val="es-ES"/>
        </w:rPr>
      </w:pPr>
      <w:sdt>
        <w:sdtPr>
          <w:rPr>
            <w:b/>
            <w:bCs/>
            <w:color w:val="000000" w:themeColor="text1"/>
            <w:sz w:val="22"/>
            <w:szCs w:val="22"/>
            <w:lang w:val="es-ES"/>
          </w:rPr>
          <w:id w:val="-780565442"/>
          <w:placeholder>
            <w:docPart w:val="DefaultPlaceholder_-1854013438"/>
          </w:placeholder>
          <w:comboBox>
            <w:listItem w:value="Elija un elemento."/>
          </w:comboBox>
        </w:sdtPr>
        <w:sdtContent>
          <w:r>
            <w:rPr>
              <w:b/>
              <w:bCs/>
              <w:color w:val="000000" w:themeColor="text1"/>
              <w:sz w:val="22"/>
              <w:szCs w:val="22"/>
              <w:lang w:val="es-ES"/>
            </w:rPr>
            <w:t>Opción 1, en caso de un solo lote: el precio total es [indique el precio total de la Oferta en letras y en cifras, indicando los diferentes montos y las respectivas monedas]</w:t>
          </w:r>
        </w:sdtContent>
      </w:sdt>
      <w:r>
        <w:rPr>
          <w:i/>
          <w:iCs/>
          <w:color w:val="000000" w:themeColor="text1"/>
          <w:sz w:val="22"/>
          <w:szCs w:val="22"/>
          <w:lang w:val="es-ES"/>
        </w:rPr>
        <w:t>.</w:t>
      </w:r>
    </w:p>
    <w:p>
      <w:pPr>
        <w:pStyle w:val="Prrafodelista"/>
        <w:spacing w:after="200"/>
        <w:ind w:left="1080"/>
        <w:jc w:val="both"/>
        <w:rPr>
          <w:color w:val="000000" w:themeColor="text1"/>
          <w:sz w:val="22"/>
          <w:szCs w:val="22"/>
          <w:lang w:val="es-ES"/>
        </w:rPr>
      </w:pPr>
    </w:p>
    <w:p>
      <w:pPr>
        <w:pStyle w:val="Prrafodelista"/>
        <w:spacing w:after="200"/>
        <w:ind w:left="1080"/>
        <w:jc w:val="both"/>
        <w:rPr>
          <w:color w:val="000000" w:themeColor="text1"/>
          <w:sz w:val="22"/>
          <w:szCs w:val="22"/>
          <w:lang w:val="es-ES"/>
        </w:rPr>
      </w:pPr>
      <w:r>
        <w:rPr>
          <w:color w:val="000000" w:themeColor="text1"/>
          <w:sz w:val="22"/>
          <w:szCs w:val="22"/>
          <w:lang w:val="es-ES"/>
        </w:rPr>
        <w:t xml:space="preserve">O bien, </w:t>
      </w:r>
    </w:p>
    <w:p>
      <w:pPr>
        <w:pStyle w:val="Prrafodelista"/>
        <w:spacing w:after="200"/>
        <w:ind w:left="1080"/>
        <w:jc w:val="both"/>
        <w:rPr>
          <w:color w:val="000000" w:themeColor="text1"/>
          <w:sz w:val="22"/>
          <w:szCs w:val="22"/>
          <w:lang w:val="es-ES"/>
        </w:rPr>
      </w:pPr>
    </w:p>
    <w:p>
      <w:pPr>
        <w:pStyle w:val="Prrafodelista"/>
        <w:spacing w:after="200"/>
        <w:ind w:left="1080"/>
        <w:contextualSpacing w:val="0"/>
        <w:jc w:val="both"/>
        <w:rPr>
          <w:color w:val="000000" w:themeColor="text1"/>
          <w:sz w:val="22"/>
          <w:szCs w:val="22"/>
          <w:lang w:val="es-ES"/>
        </w:rPr>
      </w:pPr>
      <w:sdt>
        <w:sdtPr>
          <w:rPr>
            <w:b/>
            <w:bCs/>
            <w:color w:val="000000" w:themeColor="text1"/>
            <w:sz w:val="22"/>
            <w:szCs w:val="22"/>
            <w:lang w:val="es-ES"/>
          </w:rPr>
          <w:id w:val="-745797776"/>
          <w:placeholder>
            <w:docPart w:val="DefaultPlaceholder_-1854013438"/>
          </w:placeholder>
          <w:comboBox>
            <w:listItem w:value="Elija un elemento."/>
          </w:comboBox>
        </w:sdtPr>
        <w:sdtContent>
          <w:r>
            <w:rPr>
              <w:b/>
              <w:bCs/>
              <w:color w:val="000000" w:themeColor="text1"/>
              <w:sz w:val="22"/>
              <w:szCs w:val="22"/>
              <w:lang w:val="es-ES"/>
            </w:rPr>
            <w:t>Opción 2, en caso de múltiples lotes: (a) precio total de cada lote [inserte el precio total de cada lote en letras y en cifras, indicando los diferentes montos y las respectivas monedas], y (b) precio total de todos los lotes (suma de todos los lotes) [inserte el precio total de todos los lotes en letras y en cifras, indicando los diferentes montos y las respectivas monedas]</w:t>
          </w:r>
        </w:sdtContent>
      </w:sdt>
      <w:r>
        <w:rPr>
          <w:i/>
          <w:iCs/>
          <w:color w:val="000000" w:themeColor="text1"/>
          <w:sz w:val="22"/>
          <w:szCs w:val="22"/>
          <w:lang w:val="es-ES"/>
        </w:rPr>
        <w:t>.</w:t>
      </w:r>
    </w:p>
    <w:p>
      <w:pPr>
        <w:pStyle w:val="Prrafodelista"/>
        <w:numPr>
          <w:ilvl w:val="0"/>
          <w:numId w:val="100"/>
        </w:numPr>
        <w:spacing w:after="200"/>
        <w:ind w:hanging="357"/>
        <w:contextualSpacing w:val="0"/>
        <w:jc w:val="both"/>
        <w:rPr>
          <w:b/>
          <w:bCs/>
          <w:sz w:val="22"/>
          <w:szCs w:val="22"/>
          <w:lang w:val="es-ES"/>
        </w:rPr>
      </w:pPr>
      <w:r>
        <w:rPr>
          <w:b/>
          <w:bCs/>
          <w:sz w:val="22"/>
          <w:szCs w:val="22"/>
          <w:lang w:val="es-ES"/>
        </w:rPr>
        <w:t xml:space="preserve">Descuentos: </w:t>
      </w:r>
      <w:r>
        <w:rPr>
          <w:bCs/>
          <w:sz w:val="22"/>
          <w:szCs w:val="22"/>
          <w:lang w:val="es-ES"/>
        </w:rPr>
        <w:t xml:space="preserve">Los descuentos ofrecidos y la metodología para su aplicación son los siguientes: </w:t>
      </w:r>
    </w:p>
    <w:p>
      <w:pPr>
        <w:pStyle w:val="Prrafodelista"/>
        <w:numPr>
          <w:ilvl w:val="0"/>
          <w:numId w:val="101"/>
        </w:numPr>
        <w:spacing w:after="200"/>
        <w:ind w:left="862" w:hanging="431"/>
        <w:contextualSpacing w:val="0"/>
        <w:jc w:val="both"/>
        <w:rPr>
          <w:bCs/>
          <w:sz w:val="22"/>
          <w:szCs w:val="22"/>
          <w:lang w:val="es-ES"/>
        </w:rPr>
      </w:pPr>
      <w:r>
        <w:rPr>
          <w:bCs/>
          <w:sz w:val="22"/>
          <w:szCs w:val="22"/>
          <w:lang w:val="es-ES"/>
        </w:rPr>
        <w:t xml:space="preserve">Los descuentos ofrecidos son: </w:t>
      </w:r>
      <w:sdt>
        <w:sdtPr>
          <w:rPr>
            <w:b/>
            <w:i/>
            <w:sz w:val="22"/>
            <w:szCs w:val="22"/>
            <w:lang w:val="es-ES"/>
          </w:rPr>
          <w:id w:val="2078079352"/>
          <w:placeholder>
            <w:docPart w:val="DefaultPlaceholder_-1854013438"/>
          </w:placeholder>
          <w:comboBox>
            <w:listItem w:value="Elija un elemento."/>
          </w:comboBox>
        </w:sdtPr>
        <w:sdtContent>
          <w:r>
            <w:rPr>
              <w:b/>
              <w:i/>
              <w:sz w:val="22"/>
              <w:szCs w:val="22"/>
              <w:lang w:val="es-ES"/>
            </w:rPr>
            <w:t>[especifique cada descuento ofrecido]</w:t>
          </w:r>
        </w:sdtContent>
      </w:sdt>
      <w:r>
        <w:rPr>
          <w:bCs/>
          <w:sz w:val="22"/>
          <w:szCs w:val="22"/>
          <w:lang w:val="es-ES"/>
        </w:rPr>
        <w:t>.</w:t>
      </w:r>
    </w:p>
    <w:p>
      <w:pPr>
        <w:pStyle w:val="Prrafodelista"/>
        <w:numPr>
          <w:ilvl w:val="0"/>
          <w:numId w:val="101"/>
        </w:numPr>
        <w:spacing w:after="200"/>
        <w:ind w:left="862" w:hanging="431"/>
        <w:contextualSpacing w:val="0"/>
        <w:jc w:val="both"/>
        <w:rPr>
          <w:sz w:val="22"/>
          <w:szCs w:val="22"/>
          <w:lang w:val="es-ES"/>
        </w:rPr>
      </w:pPr>
      <w:r>
        <w:rPr>
          <w:bCs/>
          <w:sz w:val="22"/>
          <w:szCs w:val="22"/>
          <w:lang w:val="es-ES"/>
        </w:rPr>
        <w:t>El método</w:t>
      </w:r>
      <w:r>
        <w:rPr>
          <w:sz w:val="22"/>
          <w:szCs w:val="22"/>
          <w:lang w:val="es-ES"/>
        </w:rPr>
        <w:t xml:space="preserve"> de cálculo exacto para determinar el precio neto luego de aplicados los descuentos se detalla a continuación: </w:t>
      </w:r>
      <w:sdt>
        <w:sdtPr>
          <w:rPr>
            <w:b/>
            <w:bCs/>
            <w:i/>
            <w:iCs/>
            <w:sz w:val="22"/>
            <w:szCs w:val="22"/>
            <w:lang w:val="es-ES"/>
          </w:rPr>
          <w:id w:val="-2108800948"/>
          <w:placeholder>
            <w:docPart w:val="DefaultPlaceholder_-1854013438"/>
          </w:placeholder>
          <w:comboBox>
            <w:listItem w:value="Elija un elemento."/>
          </w:comboBox>
        </w:sdtPr>
        <w:sdtContent>
          <w:r>
            <w:rPr>
              <w:b/>
              <w:bCs/>
              <w:i/>
              <w:iCs/>
              <w:sz w:val="22"/>
              <w:szCs w:val="22"/>
              <w:lang w:val="es-ES"/>
            </w:rPr>
            <w:t>[detalle la metodología que se usará para aplicar los descuentos]</w:t>
          </w:r>
        </w:sdtContent>
      </w:sdt>
      <w:r>
        <w:rPr>
          <w:i/>
          <w:iCs/>
          <w:sz w:val="22"/>
          <w:szCs w:val="22"/>
          <w:lang w:val="es-ES"/>
        </w:rPr>
        <w:t>.</w:t>
      </w:r>
    </w:p>
    <w:p>
      <w:pPr>
        <w:pStyle w:val="Prrafodelista"/>
        <w:numPr>
          <w:ilvl w:val="0"/>
          <w:numId w:val="100"/>
        </w:numPr>
        <w:spacing w:after="200"/>
        <w:ind w:left="431" w:hanging="431"/>
        <w:contextualSpacing w:val="0"/>
        <w:jc w:val="both"/>
        <w:rPr>
          <w:bCs/>
          <w:sz w:val="22"/>
          <w:szCs w:val="22"/>
          <w:lang w:val="es-ES"/>
        </w:rPr>
      </w:pPr>
      <w:r>
        <w:rPr>
          <w:b/>
          <w:bCs/>
          <w:sz w:val="22"/>
          <w:szCs w:val="22"/>
          <w:lang w:val="es-ES"/>
        </w:rPr>
        <w:lastRenderedPageBreak/>
        <w:t>Período de Validez de la Oferta:</w:t>
      </w:r>
      <w:r>
        <w:rPr>
          <w:bCs/>
          <w:sz w:val="22"/>
          <w:szCs w:val="22"/>
          <w:lang w:val="es-ES"/>
        </w:rPr>
        <w:t xml:space="preserve"> Nuestra Oferta se mantendrá vigente por el período establecido en la IAO 19.1 de los DDL (y sus enmiendas, si las hubiera), a partir de la fecha de vencimiento del plazo para la presentación de Ofertas establecida en la IAO 23.1 de los DDL (y sus enmiendas, si las hubiera), y seguirá teniendo carácter vinculante para nosotros y podrá ser aceptada en cualquier momento antes del vencimiento de dicho período.</w:t>
      </w:r>
    </w:p>
    <w:p>
      <w:pPr>
        <w:pStyle w:val="Prrafodelista"/>
        <w:numPr>
          <w:ilvl w:val="0"/>
          <w:numId w:val="100"/>
        </w:numPr>
        <w:spacing w:after="200"/>
        <w:ind w:left="431" w:hanging="431"/>
        <w:contextualSpacing w:val="0"/>
        <w:jc w:val="both"/>
        <w:rPr>
          <w:bCs/>
          <w:sz w:val="22"/>
          <w:szCs w:val="22"/>
          <w:lang w:val="es-ES"/>
        </w:rPr>
      </w:pPr>
      <w:r>
        <w:rPr>
          <w:b/>
          <w:bCs/>
          <w:sz w:val="22"/>
          <w:szCs w:val="22"/>
          <w:lang w:val="es-ES"/>
        </w:rPr>
        <w:t>Garantía de Cumplimiento:</w:t>
      </w:r>
      <w:r>
        <w:rPr>
          <w:bCs/>
          <w:sz w:val="22"/>
          <w:szCs w:val="22"/>
          <w:lang w:val="es-ES"/>
        </w:rPr>
        <w:t xml:space="preserve"> Si nuestra oferta es aceptada, nos comprometemos a obtener una Garantía de Cumplimiento del Contrato de conformidad con el Documento de Licitación.</w:t>
      </w:r>
    </w:p>
    <w:p>
      <w:pPr>
        <w:pStyle w:val="Prrafodelista"/>
        <w:numPr>
          <w:ilvl w:val="0"/>
          <w:numId w:val="100"/>
        </w:numPr>
        <w:spacing w:after="200"/>
        <w:ind w:left="431" w:hanging="431"/>
        <w:contextualSpacing w:val="0"/>
        <w:jc w:val="both"/>
        <w:rPr>
          <w:bCs/>
          <w:sz w:val="22"/>
          <w:szCs w:val="22"/>
          <w:lang w:val="es-ES"/>
        </w:rPr>
      </w:pPr>
      <w:r>
        <w:rPr>
          <w:b/>
          <w:bCs/>
          <w:sz w:val="22"/>
          <w:szCs w:val="22"/>
          <w:lang w:val="es-ES"/>
        </w:rPr>
        <w:t>Una Oferta por Oferente:</w:t>
      </w:r>
      <w:r>
        <w:rPr>
          <w:bCs/>
          <w:sz w:val="22"/>
          <w:szCs w:val="22"/>
          <w:lang w:val="es-ES"/>
        </w:rPr>
        <w:t xml:space="preserve"> No estamos presentando ninguna otra Oferta como Oferentes individuales, y no estamos participando en ninguna otra Oferta ni como miembros de una APCA ni como subcontratistas, y cumplimos con los requisitos de la IAO 5.3, sin considerar las Ofertas Alternativas presentadas de acuerdo con la IAO 14.</w:t>
      </w:r>
    </w:p>
    <w:p>
      <w:pPr>
        <w:pStyle w:val="Prrafodelista"/>
        <w:numPr>
          <w:ilvl w:val="0"/>
          <w:numId w:val="100"/>
        </w:numPr>
        <w:ind w:left="431" w:hanging="431"/>
        <w:jc w:val="both"/>
        <w:rPr>
          <w:sz w:val="22"/>
          <w:szCs w:val="22"/>
          <w:lang w:val="es-ES"/>
        </w:rPr>
      </w:pPr>
      <w:r>
        <w:rPr>
          <w:b/>
          <w:bCs/>
          <w:sz w:val="22"/>
          <w:szCs w:val="22"/>
          <w:lang w:val="es-ES"/>
        </w:rPr>
        <w:t>Suspensión e inhabilitación:</w:t>
      </w:r>
      <w:r>
        <w:rPr>
          <w:sz w:val="22"/>
          <w:szCs w:val="22"/>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Pr>
          <w:sz w:val="22"/>
          <w:szCs w:val="22"/>
          <w:lang w:val="es-ES" w:bidi="es-ES"/>
        </w:rPr>
        <w:t xml:space="preserve"> </w:t>
      </w:r>
    </w:p>
    <w:p>
      <w:pPr>
        <w:jc w:val="both"/>
        <w:rPr>
          <w:sz w:val="22"/>
          <w:szCs w:val="22"/>
          <w:lang w:val="es-ES"/>
        </w:rPr>
      </w:pPr>
    </w:p>
    <w:p>
      <w:pPr>
        <w:ind w:left="431"/>
        <w:jc w:val="both"/>
        <w:rPr>
          <w:sz w:val="22"/>
          <w:szCs w:val="22"/>
          <w:lang w:val="es-ES" w:bidi="es-ES"/>
        </w:rPr>
      </w:pPr>
      <w:r>
        <w:rPr>
          <w:sz w:val="22"/>
          <w:szCs w:val="22"/>
          <w:lang w:val="es-ES" w:bidi="es-ES"/>
        </w:rPr>
        <w:t>Asimismo, no somos inelegibles en virtud de las leyes nacionales del Comprador ni de sus normas oficiales, así como tampoco en virtud de una decisión del Consejo de Seguridad de las Naciones Unidas.</w:t>
      </w:r>
    </w:p>
    <w:p>
      <w:pPr>
        <w:ind w:left="431"/>
        <w:jc w:val="both"/>
        <w:rPr>
          <w:sz w:val="22"/>
          <w:szCs w:val="22"/>
          <w:lang w:val="es-ES"/>
        </w:rPr>
      </w:pPr>
    </w:p>
    <w:p>
      <w:pPr>
        <w:pStyle w:val="Prrafodelista"/>
        <w:numPr>
          <w:ilvl w:val="0"/>
          <w:numId w:val="100"/>
        </w:numPr>
        <w:spacing w:after="200"/>
        <w:ind w:left="431" w:hanging="431"/>
        <w:contextualSpacing w:val="0"/>
        <w:jc w:val="both"/>
        <w:rPr>
          <w:bCs/>
          <w:i/>
          <w:sz w:val="22"/>
          <w:szCs w:val="22"/>
          <w:lang w:val="es-ES"/>
        </w:rPr>
      </w:pPr>
      <w:r>
        <w:rPr>
          <w:b/>
          <w:bCs/>
          <w:sz w:val="22"/>
          <w:szCs w:val="22"/>
          <w:lang w:val="es-ES"/>
        </w:rPr>
        <w:t>Empresa o ente de propiedad estatal:</w:t>
      </w:r>
      <w:r>
        <w:rPr>
          <w:bCs/>
          <w:sz w:val="22"/>
          <w:szCs w:val="22"/>
          <w:lang w:val="es-ES"/>
        </w:rPr>
        <w:t xml:space="preserve"> </w:t>
      </w:r>
      <w:r>
        <w:rPr>
          <w:bCs/>
          <w:i/>
          <w:color w:val="0070C0"/>
          <w:sz w:val="22"/>
          <w:szCs w:val="22"/>
          <w:lang w:val="es-ES"/>
        </w:rPr>
        <w:t>[Seleccione la opción correspondiente y elimine la otra]</w:t>
      </w:r>
      <w:r>
        <w:rPr>
          <w:bCs/>
          <w:i/>
          <w:sz w:val="22"/>
          <w:szCs w:val="22"/>
          <w:lang w:val="es-ES"/>
        </w:rPr>
        <w:t xml:space="preserve">. </w:t>
      </w:r>
      <w:sdt>
        <w:sdtPr>
          <w:rPr>
            <w:b/>
            <w:i/>
            <w:sz w:val="22"/>
            <w:szCs w:val="22"/>
            <w:lang w:val="es-ES"/>
          </w:rPr>
          <w:id w:val="633613010"/>
          <w:placeholder>
            <w:docPart w:val="DefaultPlaceholder_-1854013438"/>
          </w:placeholder>
          <w:comboBox>
            <w:listItem w:value="Elija un elemento."/>
          </w:comboBox>
        </w:sdtPr>
        <w:sdtContent>
          <w:r>
            <w:rPr>
              <w:b/>
              <w:i/>
              <w:sz w:val="22"/>
              <w:szCs w:val="22"/>
              <w:lang w:val="es-ES"/>
            </w:rPr>
            <w:t>[No somos una empresa o ente de propiedad estatal]/[Somos una empresa o ente de propiedad estatal, pero cumplimos con los requisitos de la IAO 5.5]</w:t>
          </w:r>
        </w:sdtContent>
      </w:sdt>
      <w:r>
        <w:rPr>
          <w:bCs/>
          <w:i/>
          <w:sz w:val="22"/>
          <w:szCs w:val="22"/>
          <w:lang w:val="es-ES"/>
        </w:rPr>
        <w:t>.</w:t>
      </w:r>
    </w:p>
    <w:p>
      <w:pPr>
        <w:pStyle w:val="Prrafodelista"/>
        <w:numPr>
          <w:ilvl w:val="0"/>
          <w:numId w:val="100"/>
        </w:numPr>
        <w:spacing w:after="200"/>
        <w:ind w:left="431" w:hanging="431"/>
        <w:contextualSpacing w:val="0"/>
        <w:jc w:val="both"/>
        <w:rPr>
          <w:bCs/>
          <w:sz w:val="22"/>
          <w:szCs w:val="22"/>
          <w:lang w:val="es-ES"/>
        </w:rPr>
      </w:pPr>
      <w:r>
        <w:rPr>
          <w:b/>
          <w:bCs/>
          <w:sz w:val="22"/>
          <w:szCs w:val="22"/>
          <w:lang w:val="es-ES"/>
        </w:rPr>
        <w:t>Comisiones, gratificaciones, honorarios:</w:t>
      </w:r>
      <w:r>
        <w:rPr>
          <w:bCs/>
          <w:sz w:val="22"/>
          <w:szCs w:val="22"/>
          <w:lang w:val="es-ES"/>
        </w:rPr>
        <w:t xml:space="preserve"> Hemos pagado o pagaremos los siguientes honorarios, comisiones o gratificaciones en relación con el Proceso de Licitación o la ejecución del Contrato: </w:t>
      </w:r>
      <w:r>
        <w:rPr>
          <w:bCs/>
          <w:i/>
          <w:color w:val="0070C0"/>
          <w:sz w:val="22"/>
          <w:szCs w:val="22"/>
          <w:lang w:val="es-ES"/>
        </w:rPr>
        <w:t>[proporcione el nombre completo de cada receptor, su dirección completa, la razón por la cual se pagó cada comisión o gratificación, y la cantidad y moneda de cada comisión o gratificación a la que se haga referencia]</w:t>
      </w:r>
      <w:r>
        <w:rPr>
          <w:bCs/>
          <w:sz w:val="22"/>
          <w:szCs w:val="22"/>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tc>
          <w:tcPr>
            <w:tcW w:w="2520" w:type="dxa"/>
          </w:tcPr>
          <w:p>
            <w:pPr>
              <w:jc w:val="center"/>
              <w:rPr>
                <w:sz w:val="22"/>
                <w:szCs w:val="22"/>
                <w:lang w:val="es-ES"/>
              </w:rPr>
            </w:pPr>
            <w:r>
              <w:rPr>
                <w:sz w:val="22"/>
                <w:szCs w:val="22"/>
                <w:lang w:val="es-ES"/>
              </w:rPr>
              <w:t>Nombre del Receptor</w:t>
            </w:r>
          </w:p>
        </w:tc>
        <w:tc>
          <w:tcPr>
            <w:tcW w:w="2279" w:type="dxa"/>
          </w:tcPr>
          <w:p>
            <w:pPr>
              <w:jc w:val="center"/>
              <w:rPr>
                <w:sz w:val="22"/>
                <w:szCs w:val="22"/>
                <w:lang w:val="es-ES"/>
              </w:rPr>
            </w:pPr>
            <w:r>
              <w:rPr>
                <w:sz w:val="22"/>
                <w:szCs w:val="22"/>
                <w:lang w:val="es-ES"/>
              </w:rPr>
              <w:t>Dirección</w:t>
            </w:r>
          </w:p>
        </w:tc>
        <w:tc>
          <w:tcPr>
            <w:tcW w:w="2015" w:type="dxa"/>
          </w:tcPr>
          <w:p>
            <w:pPr>
              <w:jc w:val="center"/>
              <w:rPr>
                <w:sz w:val="22"/>
                <w:szCs w:val="22"/>
                <w:lang w:val="es-ES"/>
              </w:rPr>
            </w:pPr>
            <w:r>
              <w:rPr>
                <w:sz w:val="22"/>
                <w:szCs w:val="22"/>
                <w:lang w:val="es-ES"/>
              </w:rPr>
              <w:t>Propósito de la comisión o gratificación</w:t>
            </w:r>
          </w:p>
        </w:tc>
        <w:tc>
          <w:tcPr>
            <w:tcW w:w="1624" w:type="dxa"/>
          </w:tcPr>
          <w:p>
            <w:pPr>
              <w:jc w:val="center"/>
              <w:rPr>
                <w:sz w:val="22"/>
                <w:szCs w:val="22"/>
                <w:lang w:val="es-ES"/>
              </w:rPr>
            </w:pPr>
            <w:r>
              <w:rPr>
                <w:sz w:val="22"/>
                <w:szCs w:val="22"/>
                <w:lang w:val="es-ES"/>
              </w:rPr>
              <w:t>Monto</w:t>
            </w:r>
          </w:p>
        </w:tc>
      </w:tr>
      <w:tr>
        <w:tc>
          <w:tcPr>
            <w:tcW w:w="2520" w:type="dxa"/>
          </w:tcPr>
          <w:p>
            <w:pPr>
              <w:rPr>
                <w:sz w:val="22"/>
                <w:szCs w:val="22"/>
                <w:u w:val="single"/>
                <w:lang w:val="es-ES"/>
              </w:rPr>
            </w:pPr>
          </w:p>
        </w:tc>
        <w:tc>
          <w:tcPr>
            <w:tcW w:w="2279" w:type="dxa"/>
          </w:tcPr>
          <w:p>
            <w:pPr>
              <w:rPr>
                <w:sz w:val="22"/>
                <w:szCs w:val="22"/>
                <w:u w:val="single"/>
                <w:lang w:val="es-ES"/>
              </w:rPr>
            </w:pPr>
          </w:p>
        </w:tc>
        <w:tc>
          <w:tcPr>
            <w:tcW w:w="2015" w:type="dxa"/>
          </w:tcPr>
          <w:p>
            <w:pPr>
              <w:rPr>
                <w:sz w:val="22"/>
                <w:szCs w:val="22"/>
                <w:u w:val="single"/>
                <w:lang w:val="es-ES"/>
              </w:rPr>
            </w:pPr>
          </w:p>
        </w:tc>
        <w:tc>
          <w:tcPr>
            <w:tcW w:w="1624" w:type="dxa"/>
          </w:tcPr>
          <w:p>
            <w:pPr>
              <w:rPr>
                <w:sz w:val="22"/>
                <w:szCs w:val="22"/>
                <w:u w:val="single"/>
                <w:lang w:val="es-ES"/>
              </w:rPr>
            </w:pPr>
          </w:p>
        </w:tc>
      </w:tr>
      <w:tr>
        <w:tc>
          <w:tcPr>
            <w:tcW w:w="2520" w:type="dxa"/>
          </w:tcPr>
          <w:p>
            <w:pPr>
              <w:rPr>
                <w:sz w:val="22"/>
                <w:szCs w:val="22"/>
                <w:u w:val="single"/>
                <w:lang w:val="es-ES"/>
              </w:rPr>
            </w:pPr>
          </w:p>
        </w:tc>
        <w:tc>
          <w:tcPr>
            <w:tcW w:w="2279" w:type="dxa"/>
          </w:tcPr>
          <w:p>
            <w:pPr>
              <w:rPr>
                <w:sz w:val="22"/>
                <w:szCs w:val="22"/>
                <w:u w:val="single"/>
                <w:lang w:val="es-ES"/>
              </w:rPr>
            </w:pPr>
          </w:p>
        </w:tc>
        <w:tc>
          <w:tcPr>
            <w:tcW w:w="2015" w:type="dxa"/>
          </w:tcPr>
          <w:p>
            <w:pPr>
              <w:rPr>
                <w:sz w:val="22"/>
                <w:szCs w:val="22"/>
                <w:u w:val="single"/>
                <w:lang w:val="es-ES"/>
              </w:rPr>
            </w:pPr>
          </w:p>
        </w:tc>
        <w:tc>
          <w:tcPr>
            <w:tcW w:w="1624" w:type="dxa"/>
          </w:tcPr>
          <w:p>
            <w:pPr>
              <w:rPr>
                <w:sz w:val="22"/>
                <w:szCs w:val="22"/>
                <w:u w:val="single"/>
                <w:lang w:val="es-ES"/>
              </w:rPr>
            </w:pPr>
          </w:p>
        </w:tc>
      </w:tr>
      <w:tr>
        <w:tc>
          <w:tcPr>
            <w:tcW w:w="2520" w:type="dxa"/>
          </w:tcPr>
          <w:p>
            <w:pPr>
              <w:rPr>
                <w:sz w:val="22"/>
                <w:szCs w:val="22"/>
                <w:u w:val="single"/>
                <w:lang w:val="es-ES"/>
              </w:rPr>
            </w:pPr>
          </w:p>
        </w:tc>
        <w:tc>
          <w:tcPr>
            <w:tcW w:w="2279" w:type="dxa"/>
          </w:tcPr>
          <w:p>
            <w:pPr>
              <w:rPr>
                <w:sz w:val="22"/>
                <w:szCs w:val="22"/>
                <w:u w:val="single"/>
                <w:lang w:val="es-ES"/>
              </w:rPr>
            </w:pPr>
          </w:p>
        </w:tc>
        <w:tc>
          <w:tcPr>
            <w:tcW w:w="2015" w:type="dxa"/>
          </w:tcPr>
          <w:p>
            <w:pPr>
              <w:rPr>
                <w:sz w:val="22"/>
                <w:szCs w:val="22"/>
                <w:u w:val="single"/>
                <w:lang w:val="es-ES"/>
              </w:rPr>
            </w:pPr>
          </w:p>
        </w:tc>
        <w:tc>
          <w:tcPr>
            <w:tcW w:w="1624" w:type="dxa"/>
          </w:tcPr>
          <w:p>
            <w:pPr>
              <w:rPr>
                <w:sz w:val="22"/>
                <w:szCs w:val="22"/>
                <w:u w:val="single"/>
                <w:lang w:val="es-ES"/>
              </w:rPr>
            </w:pPr>
          </w:p>
        </w:tc>
      </w:tr>
      <w:tr>
        <w:tc>
          <w:tcPr>
            <w:tcW w:w="2520" w:type="dxa"/>
          </w:tcPr>
          <w:p>
            <w:pPr>
              <w:rPr>
                <w:sz w:val="22"/>
                <w:szCs w:val="22"/>
                <w:u w:val="single"/>
                <w:lang w:val="es-ES"/>
              </w:rPr>
            </w:pPr>
          </w:p>
        </w:tc>
        <w:tc>
          <w:tcPr>
            <w:tcW w:w="2279" w:type="dxa"/>
          </w:tcPr>
          <w:p>
            <w:pPr>
              <w:rPr>
                <w:sz w:val="22"/>
                <w:szCs w:val="22"/>
                <w:u w:val="single"/>
                <w:lang w:val="es-ES"/>
              </w:rPr>
            </w:pPr>
          </w:p>
        </w:tc>
        <w:tc>
          <w:tcPr>
            <w:tcW w:w="2015" w:type="dxa"/>
          </w:tcPr>
          <w:p>
            <w:pPr>
              <w:rPr>
                <w:sz w:val="22"/>
                <w:szCs w:val="22"/>
                <w:u w:val="single"/>
                <w:lang w:val="es-ES"/>
              </w:rPr>
            </w:pPr>
          </w:p>
        </w:tc>
        <w:tc>
          <w:tcPr>
            <w:tcW w:w="1624" w:type="dxa"/>
          </w:tcPr>
          <w:p>
            <w:pPr>
              <w:rPr>
                <w:sz w:val="22"/>
                <w:szCs w:val="22"/>
                <w:u w:val="single"/>
                <w:lang w:val="es-ES"/>
              </w:rPr>
            </w:pPr>
          </w:p>
        </w:tc>
      </w:tr>
    </w:tbl>
    <w:p>
      <w:pPr>
        <w:ind w:left="540"/>
        <w:rPr>
          <w:i/>
          <w:iCs/>
          <w:sz w:val="22"/>
          <w:szCs w:val="22"/>
          <w:lang w:val="es-ES"/>
        </w:rPr>
      </w:pPr>
      <w:r>
        <w:rPr>
          <w:i/>
          <w:iCs/>
          <w:sz w:val="22"/>
          <w:szCs w:val="22"/>
          <w:lang w:val="es-ES"/>
        </w:rPr>
        <w:t>(Si no ha efectuado o no se efectuará pago alguno, insertar “ninguno”).</w:t>
      </w:r>
    </w:p>
    <w:p>
      <w:pPr>
        <w:ind w:left="540"/>
        <w:rPr>
          <w:sz w:val="22"/>
          <w:szCs w:val="22"/>
          <w:lang w:val="es-ES"/>
        </w:rPr>
      </w:pPr>
    </w:p>
    <w:p>
      <w:pPr>
        <w:pStyle w:val="Prrafodelista"/>
        <w:numPr>
          <w:ilvl w:val="0"/>
          <w:numId w:val="100"/>
        </w:numPr>
        <w:spacing w:after="200"/>
        <w:ind w:left="431" w:hanging="431"/>
        <w:contextualSpacing w:val="0"/>
        <w:jc w:val="both"/>
        <w:rPr>
          <w:bCs/>
          <w:sz w:val="22"/>
          <w:szCs w:val="22"/>
          <w:lang w:val="es-ES"/>
        </w:rPr>
      </w:pPr>
      <w:r>
        <w:rPr>
          <w:b/>
          <w:bCs/>
          <w:sz w:val="22"/>
          <w:szCs w:val="22"/>
          <w:lang w:val="es-ES"/>
        </w:rPr>
        <w:t>Contrato vinculante:</w:t>
      </w:r>
      <w:r>
        <w:rPr>
          <w:bCs/>
          <w:sz w:val="22"/>
          <w:szCs w:val="22"/>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pPr>
        <w:pStyle w:val="Prrafodelista"/>
        <w:numPr>
          <w:ilvl w:val="0"/>
          <w:numId w:val="100"/>
        </w:numPr>
        <w:spacing w:after="200"/>
        <w:ind w:left="431" w:hanging="431"/>
        <w:contextualSpacing w:val="0"/>
        <w:jc w:val="both"/>
        <w:rPr>
          <w:bCs/>
          <w:sz w:val="22"/>
          <w:szCs w:val="22"/>
          <w:lang w:val="es-ES"/>
        </w:rPr>
      </w:pPr>
      <w:r>
        <w:rPr>
          <w:b/>
          <w:bCs/>
          <w:sz w:val="22"/>
          <w:szCs w:val="22"/>
          <w:lang w:val="es-ES"/>
        </w:rPr>
        <w:t>Comprador no obligado a aceptar:</w:t>
      </w:r>
      <w:r>
        <w:rPr>
          <w:bCs/>
          <w:sz w:val="22"/>
          <w:szCs w:val="22"/>
          <w:lang w:val="es-ES"/>
        </w:rPr>
        <w:t xml:space="preserve"> Entendemos que ustedes no están obligados a aceptar la Oferta con el costo evaluado más bajo, la Oferta más Conveniente ni ninguna otra Oferta que reciban.</w:t>
      </w:r>
    </w:p>
    <w:p>
      <w:pPr>
        <w:pStyle w:val="Prrafodelista"/>
        <w:numPr>
          <w:ilvl w:val="0"/>
          <w:numId w:val="100"/>
        </w:numPr>
        <w:spacing w:after="200"/>
        <w:ind w:left="431" w:hanging="431"/>
        <w:contextualSpacing w:val="0"/>
        <w:jc w:val="both"/>
        <w:rPr>
          <w:bCs/>
          <w:sz w:val="22"/>
          <w:szCs w:val="22"/>
          <w:lang w:val="es-ES"/>
        </w:rPr>
      </w:pPr>
      <w:r>
        <w:rPr>
          <w:b/>
          <w:bCs/>
          <w:sz w:val="22"/>
          <w:szCs w:val="22"/>
          <w:lang w:val="es-ES"/>
        </w:rPr>
        <w:t>Prácticas Prohibidas:</w:t>
      </w:r>
      <w:r>
        <w:rPr>
          <w:bCs/>
          <w:sz w:val="22"/>
          <w:szCs w:val="22"/>
          <w:lang w:val="es-ES"/>
        </w:rPr>
        <w:t xml:space="preserve"> Por el presente, certificamos que hemos tomado las medidas necesarias para garantizar que ninguna persona que actúe en nuestro nombre o representación incurra en Prácticas Prohibidas.</w:t>
      </w:r>
    </w:p>
    <w:p>
      <w:pPr>
        <w:numPr>
          <w:ilvl w:val="0"/>
          <w:numId w:val="100"/>
        </w:numPr>
        <w:jc w:val="both"/>
        <w:rPr>
          <w:i/>
          <w:iCs/>
          <w:sz w:val="22"/>
          <w:szCs w:val="22"/>
          <w:lang w:val="es-ES"/>
        </w:rPr>
      </w:pPr>
      <w:r>
        <w:rPr>
          <w:b/>
          <w:bCs/>
          <w:sz w:val="22"/>
          <w:szCs w:val="22"/>
          <w:lang w:val="es-ES"/>
        </w:rPr>
        <w:lastRenderedPageBreak/>
        <w:t>Formulario de Propiedad Efectiva</w:t>
      </w:r>
      <w:r>
        <w:rPr>
          <w:sz w:val="22"/>
          <w:szCs w:val="22"/>
          <w:lang w:val="es-ES"/>
        </w:rPr>
        <w:t>:</w:t>
      </w:r>
      <w:r>
        <w:rPr>
          <w:i/>
          <w:iCs/>
          <w:sz w:val="22"/>
          <w:szCs w:val="22"/>
          <w:lang w:val="es-ES"/>
        </w:rPr>
        <w:t xml:space="preserve">. </w:t>
      </w:r>
      <w:r>
        <w:rPr>
          <w:sz w:val="22"/>
          <w:szCs w:val="22"/>
          <w:lang w:val="es-ES"/>
        </w:rPr>
        <w:t>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No aplica</w:t>
      </w:r>
    </w:p>
    <w:p>
      <w:pPr>
        <w:jc w:val="both"/>
        <w:rPr>
          <w:sz w:val="22"/>
          <w:szCs w:val="22"/>
          <w:lang w:val="es-ES"/>
        </w:rPr>
      </w:pPr>
    </w:p>
    <w:p>
      <w:pPr>
        <w:jc w:val="both"/>
        <w:rPr>
          <w:sz w:val="22"/>
          <w:szCs w:val="22"/>
          <w:lang w:val="es-ES"/>
        </w:rPr>
      </w:pPr>
      <w:r>
        <w:rPr>
          <w:b/>
          <w:bCs/>
          <w:sz w:val="22"/>
          <w:szCs w:val="22"/>
          <w:lang w:val="es-ES"/>
        </w:rPr>
        <w:t>Nombre del Oferente*:</w:t>
      </w:r>
      <w:r>
        <w:rPr>
          <w:sz w:val="22"/>
          <w:szCs w:val="22"/>
          <w:lang w:val="es-ES"/>
        </w:rPr>
        <w:t xml:space="preserve"> </w:t>
      </w:r>
      <w:r>
        <w:rPr>
          <w:i/>
          <w:iCs/>
          <w:color w:val="0070C0"/>
          <w:sz w:val="22"/>
          <w:szCs w:val="22"/>
          <w:lang w:val="es-ES"/>
        </w:rPr>
        <w:t>[proporcione el nombre completo del Oferente]</w:t>
      </w:r>
      <w:r>
        <w:rPr>
          <w:i/>
          <w:iCs/>
          <w:sz w:val="22"/>
          <w:szCs w:val="22"/>
          <w:lang w:val="es-ES"/>
        </w:rPr>
        <w:t>.</w:t>
      </w:r>
    </w:p>
    <w:p>
      <w:pPr>
        <w:jc w:val="both"/>
        <w:rPr>
          <w:sz w:val="22"/>
          <w:szCs w:val="22"/>
          <w:lang w:val="es-ES"/>
        </w:rPr>
      </w:pPr>
    </w:p>
    <w:p>
      <w:pPr>
        <w:jc w:val="both"/>
        <w:rPr>
          <w:sz w:val="22"/>
          <w:szCs w:val="22"/>
          <w:lang w:val="es-ES"/>
        </w:rPr>
      </w:pPr>
      <w:r>
        <w:rPr>
          <w:b/>
          <w:bCs/>
          <w:sz w:val="22"/>
          <w:szCs w:val="22"/>
          <w:lang w:val="es-ES"/>
        </w:rPr>
        <w:t>Nombre de la persona debidamente autorizada para firmar la Oferta en nombre del Oferente</w:t>
      </w:r>
      <w:r>
        <w:rPr>
          <w:sz w:val="22"/>
          <w:szCs w:val="22"/>
          <w:lang w:val="es-ES"/>
        </w:rPr>
        <w:t>**</w:t>
      </w:r>
      <w:r>
        <w:rPr>
          <w:b/>
          <w:bCs/>
          <w:sz w:val="22"/>
          <w:szCs w:val="22"/>
          <w:lang w:val="es-ES"/>
        </w:rPr>
        <w:t xml:space="preserve">: </w:t>
      </w:r>
      <w:r>
        <w:rPr>
          <w:i/>
          <w:iCs/>
          <w:color w:val="0070C0"/>
          <w:sz w:val="22"/>
          <w:szCs w:val="22"/>
          <w:lang w:val="es-ES"/>
        </w:rPr>
        <w:t>[proporcione el nombre completo de la persona debidamente autorizada a firmar el Formulario de la Oferta].</w:t>
      </w:r>
    </w:p>
    <w:p>
      <w:pPr>
        <w:jc w:val="both"/>
        <w:rPr>
          <w:sz w:val="22"/>
          <w:szCs w:val="22"/>
          <w:lang w:val="es-ES"/>
        </w:rPr>
      </w:pPr>
    </w:p>
    <w:p>
      <w:pPr>
        <w:jc w:val="both"/>
        <w:rPr>
          <w:sz w:val="22"/>
          <w:szCs w:val="22"/>
          <w:lang w:val="es-ES"/>
        </w:rPr>
      </w:pPr>
      <w:r>
        <w:rPr>
          <w:b/>
          <w:bCs/>
          <w:sz w:val="22"/>
          <w:szCs w:val="22"/>
          <w:lang w:val="es-ES"/>
        </w:rPr>
        <w:t>Cargo de la persona firmante del Formulario de la Oferta:</w:t>
      </w:r>
      <w:r>
        <w:rPr>
          <w:sz w:val="22"/>
          <w:szCs w:val="22"/>
          <w:lang w:val="es-ES"/>
        </w:rPr>
        <w:t xml:space="preserve"> </w:t>
      </w:r>
      <w:r>
        <w:rPr>
          <w:i/>
          <w:iCs/>
          <w:color w:val="0070C0"/>
          <w:sz w:val="22"/>
          <w:szCs w:val="22"/>
          <w:lang w:val="es-ES"/>
        </w:rPr>
        <w:t>[indique el cargo de la persona que firma el Formulario de la Oferta]</w:t>
      </w:r>
    </w:p>
    <w:p>
      <w:pPr>
        <w:jc w:val="both"/>
        <w:rPr>
          <w:sz w:val="22"/>
          <w:szCs w:val="22"/>
          <w:lang w:val="es-ES"/>
        </w:rPr>
      </w:pPr>
    </w:p>
    <w:p>
      <w:pPr>
        <w:jc w:val="both"/>
        <w:rPr>
          <w:sz w:val="22"/>
          <w:szCs w:val="22"/>
          <w:lang w:val="es-ES"/>
        </w:rPr>
      </w:pPr>
      <w:r>
        <w:rPr>
          <w:b/>
          <w:bCs/>
          <w:sz w:val="22"/>
          <w:szCs w:val="22"/>
          <w:lang w:val="es-ES"/>
        </w:rPr>
        <w:t>Firma de la persona nombrada anteriormente:</w:t>
      </w:r>
      <w:r>
        <w:rPr>
          <w:sz w:val="22"/>
          <w:szCs w:val="22"/>
          <w:lang w:val="es-ES"/>
        </w:rPr>
        <w:t xml:space="preserve"> </w:t>
      </w:r>
      <w:r>
        <w:rPr>
          <w:i/>
          <w:iCs/>
          <w:color w:val="0070C0"/>
          <w:sz w:val="22"/>
          <w:szCs w:val="22"/>
          <w:lang w:val="es-ES"/>
        </w:rPr>
        <w:t>[indique la firma de la persona cuyo nombre y capacidad se indican en los párrafos anteriores]</w:t>
      </w:r>
      <w:r>
        <w:rPr>
          <w:i/>
          <w:iCs/>
          <w:sz w:val="22"/>
          <w:szCs w:val="22"/>
          <w:lang w:val="es-ES"/>
        </w:rPr>
        <w:t>.</w:t>
      </w:r>
    </w:p>
    <w:p>
      <w:pPr>
        <w:jc w:val="both"/>
        <w:rPr>
          <w:sz w:val="22"/>
          <w:szCs w:val="22"/>
          <w:lang w:val="es-ES"/>
        </w:rPr>
      </w:pPr>
    </w:p>
    <w:p>
      <w:pPr>
        <w:spacing w:after="120"/>
        <w:jc w:val="right"/>
        <w:rPr>
          <w:b/>
          <w:bCs/>
          <w:sz w:val="22"/>
          <w:szCs w:val="22"/>
          <w:lang w:val="es-EC"/>
        </w:rPr>
      </w:pPr>
      <w:r>
        <w:rPr>
          <w:b/>
          <w:bCs/>
          <w:sz w:val="22"/>
          <w:szCs w:val="22"/>
          <w:lang w:val="es-ES"/>
        </w:rPr>
        <w:t xml:space="preserve">Fecha de la firma: </w:t>
      </w:r>
      <w:r>
        <w:rPr>
          <w:b/>
          <w:sz w:val="22"/>
          <w:szCs w:val="22"/>
          <w:lang w:val="es-ES"/>
        </w:rPr>
        <w:t>El día</w:t>
      </w:r>
      <w:sdt>
        <w:sdtPr>
          <w:rPr>
            <w:b/>
            <w:bCs/>
            <w:sz w:val="22"/>
            <w:szCs w:val="22"/>
            <w:lang w:val="es-EC"/>
          </w:rPr>
          <w:id w:val="836959825"/>
          <w:placeholder>
            <w:docPart w:val="5642D3D6896D4B4BAAC43DA9A828A48F"/>
          </w:placeholder>
          <w:date>
            <w:dateFormat w:val="M/d/yyyy"/>
            <w:lid w:val="en-US"/>
            <w:storeMappedDataAs w:val="dateTime"/>
            <w:calendar w:val="gregorian"/>
          </w:date>
        </w:sdtPr>
        <w:sdtContent>
          <w:r>
            <w:rPr>
              <w:b/>
              <w:bCs/>
              <w:sz w:val="22"/>
              <w:szCs w:val="22"/>
              <w:lang w:val="es-EC"/>
            </w:rPr>
            <w:t xml:space="preserve"> [Indique la fecha]</w:t>
          </w:r>
        </w:sdtContent>
      </w:sdt>
    </w:p>
    <w:p>
      <w:pPr>
        <w:jc w:val="both"/>
        <w:rPr>
          <w:sz w:val="22"/>
          <w:szCs w:val="22"/>
          <w:lang w:val="es-ES"/>
        </w:rPr>
      </w:pPr>
      <w:r>
        <w:rPr>
          <w:b/>
          <w:bCs/>
          <w:sz w:val="22"/>
          <w:szCs w:val="22"/>
          <w:lang w:val="es-ES"/>
        </w:rPr>
        <w:t>*</w:t>
      </w:r>
      <w:r>
        <w:rPr>
          <w:sz w:val="22"/>
          <w:szCs w:val="22"/>
          <w:lang w:val="es-ES"/>
        </w:rPr>
        <w:t xml:space="preserve"> En el caso de las Ofertas presentadas por una APCA, especifique el nombre de la APCA que actúa como Oferente.</w:t>
      </w:r>
    </w:p>
    <w:p>
      <w:pPr>
        <w:jc w:val="both"/>
        <w:rPr>
          <w:sz w:val="22"/>
          <w:szCs w:val="22"/>
          <w:lang w:val="es-ES"/>
        </w:rPr>
      </w:pPr>
    </w:p>
    <w:p>
      <w:pPr>
        <w:jc w:val="both"/>
        <w:rPr>
          <w:sz w:val="22"/>
          <w:szCs w:val="22"/>
          <w:lang w:val="es-ES"/>
        </w:rPr>
      </w:pPr>
      <w:r>
        <w:rPr>
          <w:sz w:val="22"/>
          <w:szCs w:val="22"/>
          <w:lang w:val="es-ES"/>
        </w:rPr>
        <w:t>** La persona que firme la Oferta deberá contar con el poder otorgado por el Oferente. El poder deberá adjuntarse a los Formularios de la Oferta.</w:t>
      </w:r>
    </w:p>
    <w:p>
      <w:pPr>
        <w:pStyle w:val="SectionVHeader"/>
        <w:rPr>
          <w:rFonts w:ascii="Times New Roman" w:hAnsi="Times New Roman"/>
          <w:sz w:val="22"/>
          <w:szCs w:val="22"/>
          <w:lang w:val="es-ES"/>
        </w:rPr>
      </w:pPr>
    </w:p>
    <w:p>
      <w:pPr>
        <w:pStyle w:val="SectionVHeader"/>
        <w:rPr>
          <w:rFonts w:ascii="Times New Roman" w:hAnsi="Times New Roman"/>
          <w:sz w:val="22"/>
          <w:szCs w:val="22"/>
          <w:lang w:val="es-ES"/>
        </w:rPr>
      </w:pPr>
      <w:r>
        <w:rPr>
          <w:rFonts w:ascii="Times New Roman" w:hAnsi="Times New Roman"/>
          <w:bCs/>
          <w:sz w:val="22"/>
          <w:szCs w:val="22"/>
          <w:lang w:val="es-ES"/>
        </w:rPr>
        <w:br w:type="page"/>
      </w:r>
    </w:p>
    <w:p>
      <w:pPr>
        <w:pStyle w:val="Formularios"/>
        <w:rPr>
          <w:rFonts w:ascii="Times New Roman" w:hAnsi="Times New Roman" w:cs="Times New Roman"/>
        </w:rPr>
      </w:pPr>
      <w:bookmarkStart w:id="685" w:name="_Toc454620976"/>
      <w:bookmarkStart w:id="686" w:name="_Toc347230620"/>
      <w:bookmarkStart w:id="687" w:name="_Toc486939186"/>
      <w:bookmarkStart w:id="688" w:name="_Toc175250618"/>
      <w:r>
        <w:rPr>
          <w:rFonts w:ascii="Times New Roman" w:hAnsi="Times New Roman" w:cs="Times New Roman"/>
        </w:rPr>
        <w:lastRenderedPageBreak/>
        <w:t xml:space="preserve">Formulario de Información sobre el </w:t>
      </w:r>
      <w:bookmarkEnd w:id="685"/>
      <w:bookmarkEnd w:id="686"/>
      <w:bookmarkEnd w:id="687"/>
      <w:r>
        <w:rPr>
          <w:rFonts w:ascii="Times New Roman" w:hAnsi="Times New Roman" w:cs="Times New Roman"/>
        </w:rPr>
        <w:t>Oferente</w:t>
      </w:r>
      <w:bookmarkEnd w:id="688"/>
    </w:p>
    <w:p>
      <w:pPr>
        <w:pStyle w:val="BankNormal"/>
        <w:jc w:val="center"/>
        <w:rPr>
          <w:rFonts w:ascii="Times New Roman" w:hAnsi="Times New Roman"/>
          <w:i/>
          <w:iCs/>
          <w:color w:val="0070C0"/>
          <w:sz w:val="18"/>
          <w:szCs w:val="18"/>
          <w:lang w:val="es-ES"/>
        </w:rPr>
      </w:pPr>
      <w:r>
        <w:rPr>
          <w:rFonts w:ascii="Times New Roman" w:hAnsi="Times New Roman"/>
          <w:i/>
          <w:iCs/>
          <w:color w:val="0070C0"/>
          <w:sz w:val="18"/>
          <w:szCs w:val="18"/>
          <w:lang w:val="es-ES"/>
        </w:rPr>
        <w:t>[El Oferente deberá completar este formulario de acuerdo con las instrucciones indicadas a continuación. No se aceptará ninguna alteración a este formulario ni se aceptarán substitutos].</w:t>
      </w:r>
    </w:p>
    <w:p>
      <w:pPr>
        <w:spacing w:after="120"/>
        <w:jc w:val="right"/>
        <w:rPr>
          <w:b/>
          <w:bCs/>
          <w:sz w:val="22"/>
          <w:szCs w:val="22"/>
          <w:lang w:val="es-EC"/>
        </w:rPr>
      </w:pPr>
      <w:r>
        <w:rPr>
          <w:sz w:val="22"/>
          <w:szCs w:val="22"/>
          <w:lang w:val="es-ES"/>
        </w:rPr>
        <w:t xml:space="preserve">Fecha: </w:t>
      </w:r>
      <w:sdt>
        <w:sdtPr>
          <w:rPr>
            <w:b/>
            <w:bCs/>
            <w:sz w:val="22"/>
            <w:szCs w:val="22"/>
            <w:lang w:val="es-EC"/>
          </w:rPr>
          <w:id w:val="442661827"/>
          <w:placeholder>
            <w:docPart w:val="46D280B960994E7FB16806062D7D1C37"/>
          </w:placeholder>
          <w:date>
            <w:dateFormat w:val="M/d/yyyy"/>
            <w:lid w:val="en-US"/>
            <w:storeMappedDataAs w:val="dateTime"/>
            <w:calendar w:val="gregorian"/>
          </w:date>
        </w:sdtPr>
        <w:sdtContent>
          <w:r>
            <w:rPr>
              <w:b/>
              <w:bCs/>
              <w:sz w:val="22"/>
              <w:szCs w:val="22"/>
              <w:lang w:val="es-EC"/>
            </w:rPr>
            <w:t xml:space="preserve"> [Indique la fecha]</w:t>
          </w:r>
        </w:sdtContent>
      </w:sdt>
    </w:p>
    <w:p>
      <w:pPr>
        <w:spacing w:after="120"/>
        <w:jc w:val="both"/>
        <w:rPr>
          <w:sz w:val="22"/>
          <w:szCs w:val="22"/>
          <w:lang w:val="es-EC"/>
        </w:rPr>
      </w:pPr>
      <w:r>
        <w:rPr>
          <w:sz w:val="22"/>
          <w:szCs w:val="22"/>
          <w:lang w:val="es-EC"/>
        </w:rPr>
        <w:t xml:space="preserve">Número de Identificación: </w:t>
      </w:r>
      <w:r>
        <w:rPr>
          <w:iCs/>
          <w:sz w:val="22"/>
          <w:szCs w:val="22"/>
        </w:rPr>
        <w:t>EC-L1249-P00028</w:t>
      </w:r>
    </w:p>
    <w:p>
      <w:pPr>
        <w:spacing w:after="120"/>
        <w:jc w:val="both"/>
        <w:rPr>
          <w:i/>
          <w:iCs/>
          <w:color w:val="0070C0"/>
          <w:sz w:val="22"/>
          <w:szCs w:val="22"/>
          <w:lang w:val="es-EC"/>
        </w:rPr>
      </w:pPr>
      <w:r>
        <w:rPr>
          <w:sz w:val="22"/>
          <w:szCs w:val="22"/>
          <w:lang w:val="es-EC"/>
        </w:rPr>
        <w:t>Título del Contrato</w:t>
      </w:r>
      <w:r>
        <w:rPr>
          <w:i/>
          <w:iCs/>
          <w:sz w:val="22"/>
          <w:szCs w:val="22"/>
          <w:lang w:val="es-EC"/>
        </w:rPr>
        <w:t xml:space="preserve">: </w:t>
      </w:r>
      <w:r>
        <w:rPr>
          <w:rFonts w:eastAsia="Calibri"/>
          <w:spacing w:val="-3"/>
          <w:sz w:val="22"/>
          <w:szCs w:val="22"/>
        </w:rPr>
        <w:t>Capacitación Herramientas de Comunicación</w:t>
      </w:r>
      <w:r>
        <w:rPr>
          <w:i/>
          <w:iCs/>
          <w:color w:val="0070C0"/>
          <w:sz w:val="22"/>
          <w:szCs w:val="22"/>
          <w:lang w:val="es-EC"/>
        </w:rPr>
        <w:t xml:space="preserve"> </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trPr>
          <w:cantSplit/>
          <w:trHeight w:val="440"/>
        </w:trPr>
        <w:tc>
          <w:tcPr>
            <w:tcW w:w="8992" w:type="dxa"/>
            <w:tcBorders>
              <w:bottom w:val="nil"/>
            </w:tcBorders>
          </w:tcPr>
          <w:p>
            <w:pPr>
              <w:suppressAutoHyphens/>
              <w:spacing w:after="200"/>
              <w:ind w:left="295" w:hanging="230"/>
              <w:rPr>
                <w:sz w:val="22"/>
                <w:szCs w:val="22"/>
                <w:lang w:val="es-ES"/>
              </w:rPr>
            </w:pPr>
            <w:r>
              <w:rPr>
                <w:sz w:val="22"/>
                <w:szCs w:val="22"/>
                <w:lang w:val="es-ES"/>
              </w:rPr>
              <w:t xml:space="preserve">1. Nombre del Oferente: </w:t>
            </w:r>
            <w:r>
              <w:rPr>
                <w:i/>
                <w:iCs/>
                <w:sz w:val="22"/>
                <w:szCs w:val="22"/>
                <w:lang w:val="es-ES"/>
              </w:rPr>
              <w:t>[indique el nombre jurídico del Oferente].</w:t>
            </w:r>
          </w:p>
        </w:tc>
      </w:tr>
      <w:tr>
        <w:trPr>
          <w:cantSplit/>
          <w:trHeight w:val="586"/>
        </w:trPr>
        <w:tc>
          <w:tcPr>
            <w:tcW w:w="8992" w:type="dxa"/>
            <w:tcBorders>
              <w:left w:val="single" w:sz="4" w:space="0" w:color="auto"/>
            </w:tcBorders>
          </w:tcPr>
          <w:p>
            <w:pPr>
              <w:suppressAutoHyphens/>
              <w:spacing w:after="200"/>
              <w:ind w:left="295" w:hanging="230"/>
              <w:rPr>
                <w:sz w:val="22"/>
                <w:szCs w:val="22"/>
                <w:lang w:val="es-ES"/>
              </w:rPr>
            </w:pPr>
            <w:r>
              <w:rPr>
                <w:sz w:val="22"/>
                <w:szCs w:val="22"/>
                <w:lang w:val="es-ES"/>
              </w:rPr>
              <w:t xml:space="preserve">2. Si se trata de una APCA, nombre jurídico de cada miembro: </w:t>
            </w:r>
            <w:r>
              <w:rPr>
                <w:i/>
                <w:iCs/>
                <w:sz w:val="22"/>
                <w:szCs w:val="22"/>
                <w:lang w:val="es-ES"/>
              </w:rPr>
              <w:t>[indique el nombre jurídico de cada miembro de la APCA].</w:t>
            </w:r>
          </w:p>
        </w:tc>
      </w:tr>
      <w:tr>
        <w:trPr>
          <w:cantSplit/>
          <w:trHeight w:val="674"/>
        </w:trPr>
        <w:tc>
          <w:tcPr>
            <w:tcW w:w="8992" w:type="dxa"/>
            <w:tcBorders>
              <w:left w:val="single" w:sz="4" w:space="0" w:color="auto"/>
            </w:tcBorders>
          </w:tcPr>
          <w:p>
            <w:pPr>
              <w:suppressAutoHyphens/>
              <w:spacing w:after="200"/>
              <w:ind w:left="295" w:hanging="230"/>
              <w:rPr>
                <w:b/>
                <w:sz w:val="22"/>
                <w:szCs w:val="22"/>
                <w:lang w:val="es-ES"/>
              </w:rPr>
            </w:pPr>
            <w:r>
              <w:rPr>
                <w:sz w:val="22"/>
                <w:szCs w:val="22"/>
                <w:lang w:val="es-ES"/>
              </w:rPr>
              <w:t xml:space="preserve">3. País donde está registrado el Oferente en la actualidad o país donde intenta registrarse: </w:t>
            </w:r>
            <w:r>
              <w:rPr>
                <w:i/>
                <w:iCs/>
                <w:sz w:val="22"/>
                <w:szCs w:val="22"/>
                <w:lang w:val="es-ES"/>
              </w:rPr>
              <w:t>[indique el país donde está registrado el Oferente en la actualidad o país donde intenta registrarse].</w:t>
            </w:r>
          </w:p>
        </w:tc>
      </w:tr>
      <w:tr>
        <w:trPr>
          <w:cantSplit/>
          <w:trHeight w:val="451"/>
        </w:trPr>
        <w:tc>
          <w:tcPr>
            <w:tcW w:w="8992" w:type="dxa"/>
            <w:tcBorders>
              <w:left w:val="single" w:sz="4" w:space="0" w:color="auto"/>
            </w:tcBorders>
          </w:tcPr>
          <w:p>
            <w:pPr>
              <w:suppressAutoHyphens/>
              <w:spacing w:after="200"/>
              <w:ind w:left="295" w:hanging="230"/>
              <w:rPr>
                <w:b/>
                <w:sz w:val="22"/>
                <w:szCs w:val="22"/>
                <w:lang w:val="es-ES"/>
              </w:rPr>
            </w:pPr>
            <w:r>
              <w:rPr>
                <w:sz w:val="22"/>
                <w:szCs w:val="22"/>
                <w:lang w:val="es-ES"/>
              </w:rPr>
              <w:t xml:space="preserve">4. Año de registro del Oferente: </w:t>
            </w:r>
            <w:r>
              <w:rPr>
                <w:i/>
                <w:iCs/>
                <w:sz w:val="22"/>
                <w:szCs w:val="22"/>
                <w:lang w:val="es-ES"/>
              </w:rPr>
              <w:t>[indique el año de registro del Oferente].</w:t>
            </w:r>
          </w:p>
        </w:tc>
      </w:tr>
      <w:tr>
        <w:trPr>
          <w:cantSplit/>
          <w:trHeight w:val="543"/>
        </w:trPr>
        <w:tc>
          <w:tcPr>
            <w:tcW w:w="8992" w:type="dxa"/>
            <w:tcBorders>
              <w:left w:val="single" w:sz="4" w:space="0" w:color="auto"/>
            </w:tcBorders>
          </w:tcPr>
          <w:p>
            <w:pPr>
              <w:suppressAutoHyphens/>
              <w:spacing w:after="200"/>
              <w:ind w:left="295" w:hanging="230"/>
              <w:rPr>
                <w:sz w:val="22"/>
                <w:szCs w:val="22"/>
                <w:lang w:val="es-ES"/>
              </w:rPr>
            </w:pPr>
            <w:r>
              <w:rPr>
                <w:sz w:val="22"/>
                <w:szCs w:val="22"/>
                <w:lang w:val="es-ES"/>
              </w:rPr>
              <w:t xml:space="preserve">5. Dirección del Oferente en el país donde está registrado: </w:t>
            </w:r>
            <w:r>
              <w:rPr>
                <w:i/>
                <w:iCs/>
                <w:sz w:val="22"/>
                <w:szCs w:val="22"/>
                <w:lang w:val="es-ES"/>
              </w:rPr>
              <w:t>[indique el domicilio legal del Oferente en el país donde está registrado].</w:t>
            </w:r>
          </w:p>
        </w:tc>
      </w:tr>
      <w:tr>
        <w:trPr>
          <w:cantSplit/>
        </w:trPr>
        <w:tc>
          <w:tcPr>
            <w:tcW w:w="8992" w:type="dxa"/>
          </w:tcPr>
          <w:p>
            <w:pPr>
              <w:pStyle w:val="Outline"/>
              <w:suppressAutoHyphens/>
              <w:spacing w:before="0" w:after="200"/>
              <w:rPr>
                <w:rFonts w:ascii="Times New Roman" w:hAnsi="Times New Roman"/>
                <w:kern w:val="0"/>
                <w:sz w:val="22"/>
                <w:szCs w:val="22"/>
                <w:lang w:val="es-ES"/>
              </w:rPr>
            </w:pPr>
            <w:r>
              <w:rPr>
                <w:rFonts w:ascii="Times New Roman" w:hAnsi="Times New Roman"/>
                <w:kern w:val="0"/>
                <w:sz w:val="22"/>
                <w:szCs w:val="22"/>
                <w:lang w:val="es-ES"/>
              </w:rPr>
              <w:t>6. Información del representante autorizado del Oferente:</w:t>
            </w:r>
          </w:p>
          <w:p>
            <w:pPr>
              <w:pStyle w:val="Outline1"/>
              <w:keepNext w:val="0"/>
              <w:tabs>
                <w:tab w:val="clear" w:pos="360"/>
              </w:tabs>
              <w:suppressAutoHyphens/>
              <w:spacing w:before="0" w:after="120"/>
              <w:ind w:left="247" w:firstLine="0"/>
              <w:rPr>
                <w:b/>
                <w:kern w:val="0"/>
                <w:sz w:val="22"/>
                <w:szCs w:val="22"/>
                <w:lang w:val="es-ES"/>
              </w:rPr>
            </w:pPr>
            <w:r>
              <w:rPr>
                <w:kern w:val="0"/>
                <w:sz w:val="22"/>
                <w:szCs w:val="22"/>
                <w:lang w:val="es-ES"/>
              </w:rPr>
              <w:t xml:space="preserve">Nombre: </w:t>
            </w:r>
            <w:r>
              <w:rPr>
                <w:i/>
                <w:iCs/>
                <w:kern w:val="0"/>
                <w:sz w:val="22"/>
                <w:szCs w:val="22"/>
                <w:lang w:val="es-ES"/>
              </w:rPr>
              <w:t>[indique el nombre del representante autorizado].</w:t>
            </w:r>
          </w:p>
          <w:p>
            <w:pPr>
              <w:suppressAutoHyphens/>
              <w:spacing w:after="120"/>
              <w:ind w:left="247"/>
              <w:rPr>
                <w:b/>
                <w:sz w:val="22"/>
                <w:szCs w:val="22"/>
                <w:lang w:val="es-ES"/>
              </w:rPr>
            </w:pPr>
            <w:r>
              <w:rPr>
                <w:sz w:val="22"/>
                <w:szCs w:val="22"/>
                <w:lang w:val="es-ES"/>
              </w:rPr>
              <w:t>Dirección:</w:t>
            </w:r>
            <w:r>
              <w:rPr>
                <w:i/>
                <w:iCs/>
                <w:sz w:val="22"/>
                <w:szCs w:val="22"/>
                <w:lang w:val="es-ES"/>
              </w:rPr>
              <w:t xml:space="preserve"> [indique la dirección del representante autorizado].</w:t>
            </w:r>
          </w:p>
          <w:p>
            <w:pPr>
              <w:suppressAutoHyphens/>
              <w:spacing w:after="120"/>
              <w:ind w:left="247"/>
              <w:rPr>
                <w:b/>
                <w:spacing w:val="-2"/>
                <w:sz w:val="22"/>
                <w:szCs w:val="22"/>
                <w:lang w:val="es-ES"/>
              </w:rPr>
            </w:pPr>
            <w:r>
              <w:rPr>
                <w:spacing w:val="-2"/>
                <w:sz w:val="22"/>
                <w:szCs w:val="22"/>
                <w:lang w:val="es-ES"/>
              </w:rPr>
              <w:t>Números de teléfono</w:t>
            </w:r>
            <w:r>
              <w:rPr>
                <w:i/>
                <w:iCs/>
                <w:spacing w:val="-2"/>
                <w:sz w:val="22"/>
                <w:szCs w:val="22"/>
                <w:lang w:val="es-ES"/>
              </w:rPr>
              <w:t>: [indique los números de teléfono del representante autorizado].</w:t>
            </w:r>
          </w:p>
          <w:p>
            <w:pPr>
              <w:suppressAutoHyphens/>
              <w:spacing w:after="200"/>
              <w:ind w:left="247"/>
              <w:rPr>
                <w:sz w:val="22"/>
                <w:szCs w:val="22"/>
                <w:lang w:val="es-ES"/>
              </w:rPr>
            </w:pPr>
            <w:r>
              <w:rPr>
                <w:sz w:val="22"/>
                <w:szCs w:val="22"/>
                <w:lang w:val="es-ES"/>
              </w:rPr>
              <w:t xml:space="preserve">Dirección de correo electrónico: </w:t>
            </w:r>
            <w:r>
              <w:rPr>
                <w:i/>
                <w:iCs/>
                <w:sz w:val="22"/>
                <w:szCs w:val="22"/>
                <w:lang w:val="es-ES"/>
              </w:rPr>
              <w:t>[indique la dirección de correo electrónico del representante autorizado].</w:t>
            </w:r>
          </w:p>
        </w:tc>
      </w:tr>
      <w:tr>
        <w:tc>
          <w:tcPr>
            <w:tcW w:w="8992" w:type="dxa"/>
          </w:tcPr>
          <w:p>
            <w:pPr>
              <w:suppressAutoHyphens/>
              <w:spacing w:after="200"/>
              <w:ind w:left="295" w:hanging="230"/>
              <w:rPr>
                <w:sz w:val="22"/>
                <w:szCs w:val="22"/>
                <w:lang w:val="es-ES"/>
              </w:rPr>
            </w:pPr>
            <w:r>
              <w:rPr>
                <w:sz w:val="22"/>
                <w:szCs w:val="22"/>
                <w:lang w:val="es-ES"/>
              </w:rPr>
              <w:t>7.</w:t>
            </w:r>
            <w:r>
              <w:rPr>
                <w:spacing w:val="-2"/>
                <w:sz w:val="22"/>
                <w:szCs w:val="22"/>
                <w:lang w:val="es-ES"/>
              </w:rPr>
              <w:t xml:space="preserve"> </w:t>
            </w:r>
            <w:r>
              <w:rPr>
                <w:sz w:val="22"/>
                <w:szCs w:val="22"/>
                <w:lang w:val="es-ES"/>
              </w:rPr>
              <w:t>Se</w:t>
            </w:r>
            <w:r>
              <w:rPr>
                <w:spacing w:val="-2"/>
                <w:sz w:val="22"/>
                <w:szCs w:val="22"/>
                <w:lang w:val="es-ES"/>
              </w:rPr>
              <w:t xml:space="preserve"> adjuntan copias de los siguientes documentos originales: </w:t>
            </w:r>
            <w:r>
              <w:rPr>
                <w:i/>
                <w:iCs/>
                <w:spacing w:val="-2"/>
                <w:sz w:val="22"/>
                <w:szCs w:val="22"/>
                <w:lang w:val="es-ES"/>
              </w:rPr>
              <w:t>[marque las casillas que correspondan]</w:t>
            </w:r>
          </w:p>
          <w:p>
            <w:pPr>
              <w:spacing w:before="40" w:after="120"/>
              <w:ind w:left="540" w:hanging="450"/>
              <w:rPr>
                <w:sz w:val="22"/>
                <w:szCs w:val="22"/>
                <w:lang w:val="es-ES"/>
              </w:rPr>
            </w:pPr>
            <w:sdt>
              <w:sdtPr>
                <w:rPr>
                  <w:sz w:val="22"/>
                  <w:szCs w:val="22"/>
                  <w:lang w:val="es-ES"/>
                </w:rPr>
                <w:id w:val="-127943419"/>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sz w:val="22"/>
                <w:szCs w:val="22"/>
                <w:lang w:val="es-ES"/>
              </w:rPr>
              <w:t xml:space="preserve"> Estatutos de la Sociedad (o documentos equivalentes de constitución o asociación), o documentos de registro de la persona jurídica antes mencionada, y de conformidad con la IAO 5.1.</w:t>
            </w:r>
          </w:p>
          <w:p>
            <w:pPr>
              <w:spacing w:before="40" w:after="120"/>
              <w:ind w:left="540" w:hanging="450"/>
              <w:rPr>
                <w:sz w:val="22"/>
                <w:szCs w:val="22"/>
                <w:lang w:val="es-ES"/>
              </w:rPr>
            </w:pPr>
            <w:sdt>
              <w:sdtPr>
                <w:rPr>
                  <w:sz w:val="22"/>
                  <w:szCs w:val="22"/>
                  <w:lang w:val="es-ES"/>
                </w:rPr>
                <w:id w:val="1769038636"/>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sz w:val="22"/>
                <w:szCs w:val="22"/>
                <w:lang w:val="es-ES"/>
              </w:rPr>
              <w:t xml:space="preserve"> Si se trata de una APCA, carta de intención de formar la APCA, o el Acuerdo de APCA, de conformidad con la IAO 12.2.</w:t>
            </w:r>
          </w:p>
          <w:p>
            <w:pPr>
              <w:spacing w:before="40" w:after="120"/>
              <w:ind w:left="540" w:hanging="450"/>
              <w:rPr>
                <w:sz w:val="22"/>
                <w:szCs w:val="22"/>
                <w:lang w:val="es-ES"/>
              </w:rPr>
            </w:pPr>
            <w:sdt>
              <w:sdtPr>
                <w:rPr>
                  <w:sz w:val="22"/>
                  <w:szCs w:val="22"/>
                  <w:lang w:val="es-ES"/>
                </w:rPr>
                <w:id w:val="900250242"/>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sz w:val="22"/>
                <w:szCs w:val="22"/>
                <w:lang w:val="es-ES"/>
              </w:rPr>
              <w:t xml:space="preserve"> Si se trata de una empresa o ente de propiedad estatal, de conformidad con la IAO 4.5, documentación que acredite:</w:t>
            </w:r>
          </w:p>
          <w:p>
            <w:pPr>
              <w:pStyle w:val="Prrafodelista"/>
              <w:widowControl w:val="0"/>
              <w:numPr>
                <w:ilvl w:val="0"/>
                <w:numId w:val="21"/>
              </w:numPr>
              <w:tabs>
                <w:tab w:val="clear" w:pos="720"/>
              </w:tabs>
              <w:autoSpaceDE w:val="0"/>
              <w:autoSpaceDN w:val="0"/>
              <w:spacing w:before="40" w:after="120"/>
              <w:ind w:left="1287"/>
              <w:rPr>
                <w:sz w:val="22"/>
                <w:szCs w:val="22"/>
                <w:lang w:val="es-ES"/>
              </w:rPr>
            </w:pPr>
            <w:r>
              <w:rPr>
                <w:sz w:val="22"/>
                <w:szCs w:val="22"/>
                <w:lang w:val="es-ES"/>
              </w:rPr>
              <w:t>su autonomía jurídica y financiera,</w:t>
            </w:r>
          </w:p>
          <w:p>
            <w:pPr>
              <w:pStyle w:val="Prrafodelista"/>
              <w:widowControl w:val="0"/>
              <w:numPr>
                <w:ilvl w:val="0"/>
                <w:numId w:val="21"/>
              </w:numPr>
              <w:tabs>
                <w:tab w:val="clear" w:pos="720"/>
              </w:tabs>
              <w:autoSpaceDE w:val="0"/>
              <w:autoSpaceDN w:val="0"/>
              <w:spacing w:before="40" w:after="120"/>
              <w:ind w:left="1287"/>
              <w:rPr>
                <w:sz w:val="22"/>
                <w:szCs w:val="22"/>
                <w:lang w:val="es-ES"/>
              </w:rPr>
            </w:pPr>
            <w:r>
              <w:rPr>
                <w:sz w:val="22"/>
                <w:szCs w:val="22"/>
                <w:lang w:val="es-ES"/>
              </w:rPr>
              <w:t>su operación conforme al Derecho comercial,</w:t>
            </w:r>
          </w:p>
          <w:p>
            <w:pPr>
              <w:pStyle w:val="Prrafodelista"/>
              <w:widowControl w:val="0"/>
              <w:numPr>
                <w:ilvl w:val="0"/>
                <w:numId w:val="21"/>
              </w:numPr>
              <w:tabs>
                <w:tab w:val="clear" w:pos="720"/>
              </w:tabs>
              <w:autoSpaceDE w:val="0"/>
              <w:autoSpaceDN w:val="0"/>
              <w:spacing w:before="40" w:after="120"/>
              <w:ind w:left="1287"/>
              <w:rPr>
                <w:sz w:val="22"/>
                <w:szCs w:val="22"/>
                <w:lang w:val="es-ES"/>
              </w:rPr>
            </w:pPr>
            <w:r>
              <w:rPr>
                <w:sz w:val="22"/>
                <w:szCs w:val="22"/>
                <w:lang w:val="es-ES"/>
              </w:rPr>
              <w:t>que el Oferente no se encuentra bajo la supervisión del Comprador.</w:t>
            </w:r>
          </w:p>
          <w:p>
            <w:pPr>
              <w:suppressAutoHyphens/>
              <w:spacing w:after="200"/>
              <w:ind w:left="295" w:hanging="230"/>
              <w:rPr>
                <w:sz w:val="22"/>
                <w:szCs w:val="22"/>
                <w:lang w:val="es-ES"/>
              </w:rPr>
            </w:pPr>
            <w:r>
              <w:rPr>
                <w:sz w:val="22"/>
                <w:szCs w:val="22"/>
                <w:lang w:val="es-ES"/>
              </w:rPr>
              <w:t xml:space="preserve">8. </w:t>
            </w:r>
            <w:r>
              <w:rPr>
                <w:color w:val="000000" w:themeColor="text1"/>
                <w:spacing w:val="-2"/>
                <w:sz w:val="22"/>
                <w:szCs w:val="22"/>
                <w:lang w:val="es-ES"/>
              </w:rPr>
              <w:t xml:space="preserve">Se incluye el organigrama, la lista de los miembros del Directorio y la propiedad efectiva. </w:t>
            </w:r>
            <w:r>
              <w:rPr>
                <w:i/>
                <w:color w:val="000000" w:themeColor="text1"/>
                <w:spacing w:val="-2"/>
                <w:sz w:val="22"/>
                <w:szCs w:val="22"/>
                <w:lang w:val="es-ES"/>
              </w:rPr>
              <w:t>Si se requiere bajo los DDL en referencia a IAO 43.1, el Oferente seleccionado deberá proporcionar información adicional sobre la titularidad real, utilizando el Formulario de Divulgación de la Propiedad Efectiva].</w:t>
            </w:r>
          </w:p>
        </w:tc>
      </w:tr>
    </w:tbl>
    <w:p>
      <w:pPr>
        <w:pStyle w:val="Formularios"/>
        <w:rPr>
          <w:rFonts w:ascii="Times New Roman" w:hAnsi="Times New Roman" w:cs="Times New Roman"/>
        </w:rPr>
      </w:pPr>
      <w:r>
        <w:rPr>
          <w:rFonts w:ascii="Times New Roman" w:hAnsi="Times New Roman" w:cs="Times New Roman"/>
        </w:rPr>
        <w:br w:type="page"/>
      </w:r>
      <w:bookmarkStart w:id="689" w:name="_Toc454620977"/>
      <w:bookmarkStart w:id="690" w:name="_Toc347230621"/>
      <w:bookmarkStart w:id="691" w:name="_Toc486939187"/>
      <w:bookmarkStart w:id="692" w:name="_Toc175250619"/>
      <w:r>
        <w:rPr>
          <w:rFonts w:ascii="Times New Roman" w:hAnsi="Times New Roman" w:cs="Times New Roman"/>
        </w:rPr>
        <w:lastRenderedPageBreak/>
        <w:t>Formulario de información sobre los miembros de la </w:t>
      </w:r>
      <w:bookmarkEnd w:id="689"/>
      <w:bookmarkEnd w:id="690"/>
      <w:r>
        <w:rPr>
          <w:rFonts w:ascii="Times New Roman" w:hAnsi="Times New Roman" w:cs="Times New Roman"/>
        </w:rPr>
        <w:t>APCA</w:t>
      </w:r>
      <w:bookmarkEnd w:id="691"/>
      <w:bookmarkEnd w:id="692"/>
    </w:p>
    <w:p>
      <w:pPr>
        <w:spacing w:after="120"/>
        <w:rPr>
          <w:sz w:val="22"/>
          <w:szCs w:val="22"/>
          <w:lang w:val="es-ES"/>
        </w:rPr>
      </w:pPr>
      <w:r>
        <w:rPr>
          <w:i/>
          <w:iCs/>
          <w:color w:val="0070C0"/>
          <w:sz w:val="18"/>
          <w:szCs w:val="18"/>
          <w:lang w:val="es-ES"/>
        </w:rPr>
        <w:t>[El Oferente deberá completar este formulario de acuerdo con las instrucciones indicadas a continuación. El siguiente cuadro deberá ser completado por el Oferente y por cada uno de los miembros de la APCA]</w:t>
      </w:r>
      <w:r>
        <w:rPr>
          <w:i/>
          <w:iCs/>
          <w:sz w:val="18"/>
          <w:szCs w:val="18"/>
          <w:lang w:val="es-ES"/>
        </w:rPr>
        <w:t>.</w:t>
      </w:r>
    </w:p>
    <w:p>
      <w:pPr>
        <w:spacing w:after="120"/>
        <w:jc w:val="right"/>
        <w:rPr>
          <w:b/>
          <w:bCs/>
          <w:sz w:val="22"/>
          <w:szCs w:val="22"/>
          <w:lang w:val="es-EC"/>
        </w:rPr>
      </w:pPr>
      <w:r>
        <w:rPr>
          <w:sz w:val="22"/>
          <w:szCs w:val="22"/>
          <w:lang w:val="es-ES"/>
        </w:rPr>
        <w:t xml:space="preserve">Fecha: </w:t>
      </w:r>
      <w:sdt>
        <w:sdtPr>
          <w:rPr>
            <w:b/>
            <w:bCs/>
            <w:sz w:val="22"/>
            <w:szCs w:val="22"/>
            <w:lang w:val="es-EC"/>
          </w:rPr>
          <w:id w:val="-2108113891"/>
          <w:placeholder>
            <w:docPart w:val="0A65600C165343908A1CB4CEB922D9BA"/>
          </w:placeholder>
          <w:date>
            <w:dateFormat w:val="M/d/yyyy"/>
            <w:lid w:val="en-US"/>
            <w:storeMappedDataAs w:val="dateTime"/>
            <w:calendar w:val="gregorian"/>
          </w:date>
        </w:sdtPr>
        <w:sdtContent>
          <w:r>
            <w:rPr>
              <w:b/>
              <w:bCs/>
              <w:sz w:val="22"/>
              <w:szCs w:val="22"/>
              <w:lang w:val="es-EC"/>
            </w:rPr>
            <w:t xml:space="preserve"> [Indique la fecha]</w:t>
          </w:r>
        </w:sdtContent>
      </w:sdt>
    </w:p>
    <w:p>
      <w:pPr>
        <w:spacing w:after="120"/>
        <w:jc w:val="both"/>
        <w:rPr>
          <w:sz w:val="22"/>
          <w:szCs w:val="22"/>
          <w:lang w:val="es-EC"/>
        </w:rPr>
      </w:pPr>
      <w:r>
        <w:rPr>
          <w:sz w:val="22"/>
          <w:szCs w:val="22"/>
          <w:lang w:val="es-EC"/>
        </w:rPr>
        <w:t xml:space="preserve">Número de Identificación: </w:t>
      </w:r>
      <w:r>
        <w:rPr>
          <w:iCs/>
          <w:sz w:val="22"/>
          <w:szCs w:val="22"/>
        </w:rPr>
        <w:t>EC-L1249-P00028</w:t>
      </w:r>
    </w:p>
    <w:p>
      <w:pPr>
        <w:spacing w:after="120"/>
        <w:jc w:val="both"/>
        <w:rPr>
          <w:i/>
          <w:iCs/>
          <w:color w:val="0070C0"/>
          <w:sz w:val="22"/>
          <w:szCs w:val="22"/>
          <w:lang w:val="es-EC"/>
        </w:rPr>
      </w:pPr>
      <w:r>
        <w:rPr>
          <w:sz w:val="22"/>
          <w:szCs w:val="22"/>
          <w:lang w:val="es-EC"/>
        </w:rPr>
        <w:t>Título del Contrato</w:t>
      </w:r>
      <w:r>
        <w:rPr>
          <w:i/>
          <w:iCs/>
          <w:sz w:val="22"/>
          <w:szCs w:val="22"/>
          <w:lang w:val="es-EC"/>
        </w:rPr>
        <w:t xml:space="preserve">: </w:t>
      </w:r>
      <w:r>
        <w:rPr>
          <w:rFonts w:eastAsia="Calibri"/>
          <w:spacing w:val="-3"/>
          <w:sz w:val="22"/>
          <w:szCs w:val="22"/>
        </w:rPr>
        <w:t>Capacitación Herramientas de Comunicación</w:t>
      </w:r>
      <w:r>
        <w:rPr>
          <w:i/>
          <w:iCs/>
          <w:color w:val="0070C0"/>
          <w:sz w:val="22"/>
          <w:szCs w:val="22"/>
          <w:lang w:val="es-EC"/>
        </w:rPr>
        <w:t xml:space="preserve">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trPr>
          <w:cantSplit/>
          <w:trHeight w:val="440"/>
        </w:trPr>
        <w:tc>
          <w:tcPr>
            <w:tcW w:w="8818" w:type="dxa"/>
            <w:tcBorders>
              <w:bottom w:val="nil"/>
            </w:tcBorders>
          </w:tcPr>
          <w:p>
            <w:pPr>
              <w:pStyle w:val="Textoindependiente"/>
              <w:spacing w:before="40" w:after="160"/>
              <w:ind w:left="360" w:hanging="360"/>
              <w:rPr>
                <w:rFonts w:ascii="Times New Roman" w:hAnsi="Times New Roman" w:cs="Times New Roman"/>
                <w:sz w:val="22"/>
                <w:szCs w:val="22"/>
                <w:lang w:val="es-ES"/>
              </w:rPr>
            </w:pPr>
            <w:r>
              <w:rPr>
                <w:rFonts w:ascii="Times New Roman" w:hAnsi="Times New Roman" w:cs="Times New Roman"/>
                <w:sz w:val="22"/>
                <w:szCs w:val="22"/>
                <w:lang w:val="es-ES"/>
              </w:rPr>
              <w:t>1.</w:t>
            </w:r>
            <w:r>
              <w:rPr>
                <w:rFonts w:ascii="Times New Roman" w:hAnsi="Times New Roman" w:cs="Times New Roman"/>
                <w:sz w:val="22"/>
                <w:szCs w:val="22"/>
                <w:lang w:val="es-ES"/>
              </w:rPr>
              <w:tab/>
              <w:t xml:space="preserve">Nombre del Oferente </w:t>
            </w:r>
            <w:r>
              <w:rPr>
                <w:rFonts w:ascii="Times New Roman" w:hAnsi="Times New Roman" w:cs="Times New Roman"/>
                <w:i/>
                <w:iCs/>
                <w:sz w:val="22"/>
                <w:szCs w:val="22"/>
                <w:lang w:val="es-ES"/>
              </w:rPr>
              <w:t>[indique el nombre jurídico del Oferente].</w:t>
            </w:r>
          </w:p>
        </w:tc>
      </w:tr>
      <w:tr>
        <w:trPr>
          <w:cantSplit/>
          <w:trHeight w:val="497"/>
        </w:trPr>
        <w:tc>
          <w:tcPr>
            <w:tcW w:w="8818" w:type="dxa"/>
            <w:tcBorders>
              <w:left w:val="single" w:sz="4" w:space="0" w:color="auto"/>
            </w:tcBorders>
          </w:tcPr>
          <w:p>
            <w:pPr>
              <w:pStyle w:val="Textoindependiente"/>
              <w:spacing w:before="40" w:after="160"/>
              <w:ind w:left="360" w:hanging="360"/>
              <w:rPr>
                <w:rFonts w:ascii="Times New Roman" w:hAnsi="Times New Roman" w:cs="Times New Roman"/>
                <w:b/>
                <w:sz w:val="22"/>
                <w:szCs w:val="22"/>
                <w:lang w:val="es-ES"/>
              </w:rPr>
            </w:pPr>
            <w:r>
              <w:rPr>
                <w:rFonts w:ascii="Times New Roman" w:hAnsi="Times New Roman" w:cs="Times New Roman"/>
                <w:sz w:val="22"/>
                <w:szCs w:val="22"/>
                <w:lang w:val="es-ES"/>
              </w:rPr>
              <w:t>2.</w:t>
            </w:r>
            <w:r>
              <w:rPr>
                <w:rFonts w:ascii="Times New Roman" w:hAnsi="Times New Roman" w:cs="Times New Roman"/>
                <w:sz w:val="22"/>
                <w:szCs w:val="22"/>
                <w:lang w:val="es-ES"/>
              </w:rPr>
              <w:tab/>
              <w:t xml:space="preserve">Nombre jurídico del miembro de la APCA </w:t>
            </w:r>
            <w:r>
              <w:rPr>
                <w:rFonts w:ascii="Times New Roman" w:hAnsi="Times New Roman" w:cs="Times New Roman"/>
                <w:i/>
                <w:iCs/>
                <w:sz w:val="22"/>
                <w:szCs w:val="22"/>
                <w:lang w:val="es-ES"/>
              </w:rPr>
              <w:t>[indique el nombre jurídico del miembro de la APCA].</w:t>
            </w:r>
          </w:p>
        </w:tc>
      </w:tr>
      <w:tr>
        <w:trPr>
          <w:cantSplit/>
          <w:trHeight w:val="674"/>
        </w:trPr>
        <w:tc>
          <w:tcPr>
            <w:tcW w:w="8818" w:type="dxa"/>
            <w:tcBorders>
              <w:left w:val="single" w:sz="4" w:space="0" w:color="auto"/>
            </w:tcBorders>
          </w:tcPr>
          <w:p>
            <w:pPr>
              <w:pStyle w:val="Textoindependiente"/>
              <w:spacing w:before="40" w:after="160"/>
              <w:ind w:left="360" w:hanging="360"/>
              <w:rPr>
                <w:rFonts w:ascii="Times New Roman" w:hAnsi="Times New Roman" w:cs="Times New Roman"/>
                <w:b/>
                <w:sz w:val="22"/>
                <w:szCs w:val="22"/>
                <w:lang w:val="es-ES"/>
              </w:rPr>
            </w:pPr>
            <w:r>
              <w:rPr>
                <w:rFonts w:ascii="Times New Roman" w:hAnsi="Times New Roman" w:cs="Times New Roman"/>
                <w:sz w:val="22"/>
                <w:szCs w:val="22"/>
                <w:lang w:val="es-ES"/>
              </w:rPr>
              <w:t>3.</w:t>
            </w:r>
            <w:r>
              <w:rPr>
                <w:rFonts w:ascii="Times New Roman" w:hAnsi="Times New Roman" w:cs="Times New Roman"/>
                <w:sz w:val="22"/>
                <w:szCs w:val="22"/>
                <w:lang w:val="es-ES"/>
              </w:rPr>
              <w:tab/>
              <w:t xml:space="preserve">Nombre del país de registro del miembro de la APCA </w:t>
            </w:r>
            <w:r>
              <w:rPr>
                <w:rFonts w:ascii="Times New Roman" w:hAnsi="Times New Roman" w:cs="Times New Roman"/>
                <w:i/>
                <w:iCs/>
                <w:sz w:val="22"/>
                <w:szCs w:val="22"/>
                <w:lang w:val="es-ES"/>
              </w:rPr>
              <w:t>[indique el nombre del país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Times New Roman" w:hAnsi="Times New Roman" w:cs="Times New Roman"/>
                <w:sz w:val="22"/>
                <w:szCs w:val="22"/>
                <w:lang w:val="es-ES"/>
              </w:rPr>
            </w:pPr>
            <w:r>
              <w:rPr>
                <w:rFonts w:ascii="Times New Roman" w:hAnsi="Times New Roman" w:cs="Times New Roman"/>
                <w:sz w:val="22"/>
                <w:szCs w:val="22"/>
                <w:lang w:val="es-ES"/>
              </w:rPr>
              <w:t>4.</w:t>
            </w:r>
            <w:r>
              <w:rPr>
                <w:rFonts w:ascii="Times New Roman" w:hAnsi="Times New Roman" w:cs="Times New Roman"/>
                <w:sz w:val="22"/>
                <w:szCs w:val="22"/>
                <w:lang w:val="es-ES"/>
              </w:rPr>
              <w:tab/>
              <w:t xml:space="preserve">Año de registro del miembro de la APCA: </w:t>
            </w:r>
            <w:r>
              <w:rPr>
                <w:rFonts w:ascii="Times New Roman" w:hAnsi="Times New Roman" w:cs="Times New Roman"/>
                <w:i/>
                <w:iCs/>
                <w:sz w:val="22"/>
                <w:szCs w:val="22"/>
                <w:lang w:val="es-ES"/>
              </w:rPr>
              <w:t>[indique el año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Times New Roman" w:hAnsi="Times New Roman" w:cs="Times New Roman"/>
                <w:sz w:val="22"/>
                <w:szCs w:val="22"/>
                <w:lang w:val="es-ES"/>
              </w:rPr>
            </w:pPr>
            <w:r>
              <w:rPr>
                <w:rFonts w:ascii="Times New Roman" w:hAnsi="Times New Roman" w:cs="Times New Roman"/>
                <w:sz w:val="22"/>
                <w:szCs w:val="22"/>
                <w:lang w:val="es-ES"/>
              </w:rPr>
              <w:t>5.</w:t>
            </w:r>
            <w:r>
              <w:rPr>
                <w:rFonts w:ascii="Times New Roman" w:hAnsi="Times New Roman" w:cs="Times New Roman"/>
                <w:sz w:val="22"/>
                <w:szCs w:val="22"/>
                <w:lang w:val="es-ES"/>
              </w:rPr>
              <w:tab/>
              <w:t xml:space="preserve">Dirección del miembro de la APCA en el país donde está registrado: </w:t>
            </w:r>
            <w:r>
              <w:rPr>
                <w:rFonts w:ascii="Times New Roman" w:hAnsi="Times New Roman" w:cs="Times New Roman"/>
                <w:i/>
                <w:iCs/>
                <w:sz w:val="22"/>
                <w:szCs w:val="22"/>
                <w:lang w:val="es-ES"/>
              </w:rPr>
              <w:t>[domicilio legal del miembro de la APCA en el país donde está registrado].</w:t>
            </w:r>
          </w:p>
        </w:tc>
      </w:tr>
      <w:tr>
        <w:trPr>
          <w:cantSplit/>
        </w:trPr>
        <w:tc>
          <w:tcPr>
            <w:tcW w:w="8818" w:type="dxa"/>
          </w:tcPr>
          <w:p>
            <w:pPr>
              <w:pStyle w:val="Textoindependiente"/>
              <w:spacing w:before="40" w:after="120"/>
              <w:ind w:left="360" w:hanging="360"/>
              <w:rPr>
                <w:rFonts w:ascii="Times New Roman" w:hAnsi="Times New Roman" w:cs="Times New Roman"/>
                <w:sz w:val="22"/>
                <w:szCs w:val="22"/>
                <w:lang w:val="es-ES"/>
              </w:rPr>
            </w:pPr>
            <w:r>
              <w:rPr>
                <w:rFonts w:ascii="Times New Roman" w:hAnsi="Times New Roman" w:cs="Times New Roman"/>
                <w:sz w:val="22"/>
                <w:szCs w:val="22"/>
                <w:lang w:val="es-ES"/>
              </w:rPr>
              <w:t>6.</w:t>
            </w:r>
            <w:r>
              <w:rPr>
                <w:rFonts w:ascii="Times New Roman" w:hAnsi="Times New Roman" w:cs="Times New Roman"/>
                <w:sz w:val="22"/>
                <w:szCs w:val="22"/>
                <w:lang w:val="es-ES"/>
              </w:rPr>
              <w:tab/>
              <w:t>Información sobre el representante autorizado del miembro de la APCA:</w:t>
            </w:r>
          </w:p>
          <w:p>
            <w:pPr>
              <w:pStyle w:val="Textoindependiente"/>
              <w:spacing w:before="40" w:after="120"/>
              <w:ind w:left="360" w:hanging="14"/>
              <w:rPr>
                <w:rFonts w:ascii="Times New Roman" w:hAnsi="Times New Roman" w:cs="Times New Roman"/>
                <w:b/>
                <w:sz w:val="22"/>
                <w:szCs w:val="22"/>
                <w:lang w:val="es-ES"/>
              </w:rPr>
            </w:pPr>
            <w:r>
              <w:rPr>
                <w:rFonts w:ascii="Times New Roman" w:hAnsi="Times New Roman" w:cs="Times New Roman"/>
                <w:sz w:val="22"/>
                <w:szCs w:val="22"/>
                <w:lang w:val="es-ES"/>
              </w:rPr>
              <w:t xml:space="preserve">Nombre: </w:t>
            </w:r>
            <w:r>
              <w:rPr>
                <w:rFonts w:ascii="Times New Roman" w:hAnsi="Times New Roman" w:cs="Times New Roman"/>
                <w:i/>
                <w:iCs/>
                <w:sz w:val="22"/>
                <w:szCs w:val="22"/>
                <w:lang w:val="es-ES"/>
              </w:rPr>
              <w:t>[indique el nombre del representante autorizado del miembro de la APCA].</w:t>
            </w:r>
          </w:p>
          <w:p>
            <w:pPr>
              <w:pStyle w:val="Textoindependiente"/>
              <w:spacing w:before="40" w:after="120"/>
              <w:ind w:left="360" w:hanging="14"/>
              <w:rPr>
                <w:rFonts w:ascii="Times New Roman" w:hAnsi="Times New Roman" w:cs="Times New Roman"/>
                <w:b/>
                <w:sz w:val="22"/>
                <w:szCs w:val="22"/>
                <w:lang w:val="es-ES"/>
              </w:rPr>
            </w:pPr>
            <w:r>
              <w:rPr>
                <w:rFonts w:ascii="Times New Roman" w:hAnsi="Times New Roman" w:cs="Times New Roman"/>
                <w:sz w:val="22"/>
                <w:szCs w:val="22"/>
                <w:lang w:val="es-ES"/>
              </w:rPr>
              <w:t>Dirección:</w:t>
            </w:r>
            <w:r>
              <w:rPr>
                <w:rFonts w:ascii="Times New Roman" w:hAnsi="Times New Roman" w:cs="Times New Roman"/>
                <w:i/>
                <w:iCs/>
                <w:sz w:val="22"/>
                <w:szCs w:val="22"/>
                <w:lang w:val="es-ES"/>
              </w:rPr>
              <w:t xml:space="preserve"> [indique la dirección del representante autorizado del miembro de la APCA].</w:t>
            </w:r>
          </w:p>
          <w:p>
            <w:pPr>
              <w:pStyle w:val="Textoindependiente"/>
              <w:spacing w:before="40" w:after="120"/>
              <w:ind w:left="360" w:hanging="14"/>
              <w:rPr>
                <w:rFonts w:ascii="Times New Roman" w:hAnsi="Times New Roman" w:cs="Times New Roman"/>
                <w:i/>
                <w:sz w:val="22"/>
                <w:szCs w:val="22"/>
                <w:lang w:val="es-ES"/>
              </w:rPr>
            </w:pPr>
            <w:r>
              <w:rPr>
                <w:rFonts w:ascii="Times New Roman" w:hAnsi="Times New Roman" w:cs="Times New Roman"/>
                <w:sz w:val="22"/>
                <w:szCs w:val="22"/>
                <w:lang w:val="es-ES"/>
              </w:rPr>
              <w:t xml:space="preserve">Números de teléfono: </w:t>
            </w:r>
            <w:r>
              <w:rPr>
                <w:rFonts w:ascii="Times New Roman" w:hAnsi="Times New Roman" w:cs="Times New Roman"/>
                <w:i/>
                <w:iCs/>
                <w:sz w:val="22"/>
                <w:szCs w:val="22"/>
                <w:lang w:val="es-ES"/>
              </w:rPr>
              <w:t>[indique los números de teléfono del representante autorizado del miembro de la APCA].</w:t>
            </w:r>
          </w:p>
          <w:p>
            <w:pPr>
              <w:pStyle w:val="Textoindependiente"/>
              <w:spacing w:before="40" w:after="160"/>
              <w:ind w:left="360" w:hanging="14"/>
              <w:rPr>
                <w:rFonts w:ascii="Times New Roman" w:hAnsi="Times New Roman" w:cs="Times New Roman"/>
                <w:sz w:val="22"/>
                <w:szCs w:val="22"/>
                <w:lang w:val="es-ES"/>
              </w:rPr>
            </w:pPr>
            <w:r>
              <w:rPr>
                <w:rFonts w:ascii="Times New Roman" w:hAnsi="Times New Roman" w:cs="Times New Roman"/>
                <w:sz w:val="22"/>
                <w:szCs w:val="22"/>
                <w:lang w:val="es-ES"/>
              </w:rPr>
              <w:t xml:space="preserve">Dirección de correo electrónico: </w:t>
            </w:r>
            <w:r>
              <w:rPr>
                <w:rFonts w:ascii="Times New Roman" w:hAnsi="Times New Roman" w:cs="Times New Roman"/>
                <w:i/>
                <w:iCs/>
                <w:sz w:val="22"/>
                <w:szCs w:val="22"/>
                <w:lang w:val="es-ES"/>
              </w:rPr>
              <w:t>[indique la dirección de correo electrónico del representante autorizado del miembro de la APCA].</w:t>
            </w:r>
          </w:p>
        </w:tc>
      </w:tr>
      <w:tr>
        <w:tc>
          <w:tcPr>
            <w:tcW w:w="8818" w:type="dxa"/>
          </w:tcPr>
          <w:p>
            <w:pPr>
              <w:spacing w:before="40"/>
              <w:ind w:left="319" w:hanging="319"/>
              <w:rPr>
                <w:sz w:val="22"/>
                <w:szCs w:val="22"/>
                <w:lang w:val="es-ES"/>
              </w:rPr>
            </w:pPr>
            <w:r>
              <w:rPr>
                <w:sz w:val="22"/>
                <w:szCs w:val="22"/>
                <w:lang w:val="es-ES"/>
              </w:rPr>
              <w:t>7.</w:t>
            </w:r>
            <w:r>
              <w:rPr>
                <w:sz w:val="22"/>
                <w:szCs w:val="22"/>
                <w:lang w:val="es-ES"/>
              </w:rPr>
              <w:tab/>
              <w:t xml:space="preserve">Se adjuntan copias de los siguientes documentos originales: </w:t>
            </w:r>
            <w:r>
              <w:rPr>
                <w:i/>
                <w:iCs/>
                <w:sz w:val="22"/>
                <w:szCs w:val="22"/>
                <w:lang w:val="es-ES"/>
              </w:rPr>
              <w:t>[marque las casillas que correspondan].</w:t>
            </w:r>
          </w:p>
          <w:p>
            <w:pPr>
              <w:spacing w:before="40"/>
              <w:ind w:left="540" w:hanging="450"/>
              <w:rPr>
                <w:sz w:val="22"/>
                <w:szCs w:val="22"/>
                <w:lang w:val="es-ES"/>
              </w:rPr>
            </w:pPr>
            <w:sdt>
              <w:sdtPr>
                <w:rPr>
                  <w:sz w:val="22"/>
                  <w:szCs w:val="22"/>
                  <w:lang w:val="es-ES"/>
                </w:rPr>
                <w:id w:val="1072614951"/>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sz w:val="22"/>
                <w:szCs w:val="22"/>
                <w:lang w:val="es-ES"/>
              </w:rPr>
              <w:t xml:space="preserve"> Estatutos de la Sociedad (o documentos equivalentes de constitución o asociación) o documentos de registro de la persona jurídica antes mencionada, y de conformidad con la IAO 5.1.</w:t>
            </w:r>
          </w:p>
          <w:p>
            <w:pPr>
              <w:spacing w:before="40"/>
              <w:ind w:left="540" w:hanging="450"/>
              <w:rPr>
                <w:sz w:val="22"/>
                <w:szCs w:val="22"/>
                <w:lang w:val="es-ES"/>
              </w:rPr>
            </w:pPr>
            <w:sdt>
              <w:sdtPr>
                <w:rPr>
                  <w:sz w:val="22"/>
                  <w:szCs w:val="22"/>
                  <w:lang w:val="es-ES"/>
                </w:rPr>
                <w:id w:val="2049409916"/>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sz w:val="22"/>
                <w:szCs w:val="22"/>
                <w:lang w:val="es-ES"/>
              </w:rPr>
              <w:t xml:space="preserve"> Si se trata de una empresa o ente de propiedad estatal, documentación que acredite su autonomía jurídica y financiera, su operación de conformidad con el Derecho comercial y que no se encuentra bajo la supervisión del Comprador, de conformidad con la IAO 5.5.</w:t>
            </w:r>
          </w:p>
          <w:p>
            <w:pPr>
              <w:spacing w:before="40" w:after="160"/>
              <w:ind w:left="342" w:hanging="342"/>
              <w:rPr>
                <w:sz w:val="22"/>
                <w:szCs w:val="22"/>
                <w:lang w:val="es-ES"/>
              </w:rPr>
            </w:pPr>
            <w:r>
              <w:rPr>
                <w:sz w:val="22"/>
                <w:szCs w:val="22"/>
                <w:lang w:val="es-ES"/>
              </w:rPr>
              <w:t>8.</w:t>
            </w:r>
            <w:r>
              <w:rPr>
                <w:sz w:val="22"/>
                <w:szCs w:val="22"/>
                <w:lang w:val="es-ES"/>
              </w:rPr>
              <w:tab/>
            </w:r>
            <w:r>
              <w:rPr>
                <w:color w:val="000000" w:themeColor="text1"/>
                <w:spacing w:val="-2"/>
                <w:sz w:val="22"/>
                <w:szCs w:val="22"/>
                <w:lang w:val="es-ES"/>
              </w:rPr>
              <w:t xml:space="preserve">Se incluye el organigrama, la lista de los miembros del Directorio y la propiedad efectiva. </w:t>
            </w:r>
            <w:r>
              <w:rPr>
                <w:i/>
                <w:color w:val="000000" w:themeColor="text1"/>
                <w:spacing w:val="-2"/>
                <w:sz w:val="22"/>
                <w:szCs w:val="22"/>
                <w:lang w:val="es-ES"/>
              </w:rPr>
              <w:t>Si se requiere bajo en los DDL en referencia a IAO 43.1, el Oferente seleccionado deberá proporcionar información adicional sobre la titularidad real de cada miembro de la APCA, utilizando el Formulario de Divulgación de la Propiedad Efectiva].</w:t>
            </w:r>
          </w:p>
        </w:tc>
      </w:tr>
    </w:tbl>
    <w:p>
      <w:pPr>
        <w:pStyle w:val="Formularios"/>
        <w:rPr>
          <w:rFonts w:ascii="Times New Roman" w:hAnsi="Times New Roman" w:cs="Times New Roman"/>
        </w:rPr>
      </w:pPr>
      <w:r>
        <w:rPr>
          <w:rFonts w:ascii="Times New Roman" w:hAnsi="Times New Roman" w:cs="Times New Roman"/>
        </w:rPr>
        <w:br w:type="page"/>
      </w:r>
      <w:bookmarkStart w:id="693" w:name="_Toc175250620"/>
      <w:r>
        <w:rPr>
          <w:rFonts w:ascii="Times New Roman" w:hAnsi="Times New Roman" w:cs="Times New Roman"/>
        </w:rPr>
        <w:lastRenderedPageBreak/>
        <w:t>Formularios de Listas de Precios</w:t>
      </w:r>
      <w:bookmarkEnd w:id="693"/>
    </w:p>
    <w:p>
      <w:pPr>
        <w:pStyle w:val="Textoindependiente"/>
        <w:rPr>
          <w:rFonts w:ascii="Times New Roman" w:hAnsi="Times New Roman" w:cs="Times New Roman"/>
          <w:i/>
          <w:iCs/>
          <w:sz w:val="22"/>
          <w:szCs w:val="22"/>
          <w:lang w:val="es-ES"/>
        </w:rPr>
      </w:pPr>
    </w:p>
    <w:p>
      <w:pPr>
        <w:pStyle w:val="Textoindependiente"/>
        <w:jc w:val="both"/>
        <w:rPr>
          <w:rFonts w:ascii="Times New Roman" w:hAnsi="Times New Roman" w:cs="Times New Roman"/>
          <w:i/>
          <w:iCs/>
          <w:color w:val="0070C0"/>
          <w:sz w:val="22"/>
          <w:szCs w:val="22"/>
          <w:lang w:val="es-ES"/>
        </w:rPr>
      </w:pPr>
      <w:r>
        <w:rPr>
          <w:rFonts w:ascii="Times New Roman" w:hAnsi="Times New Roman" w:cs="Times New Roman"/>
          <w:i/>
          <w:iCs/>
          <w:color w:val="0070C0"/>
          <w:sz w:val="22"/>
          <w:szCs w:val="22"/>
          <w:lang w:val="es-ES"/>
        </w:rPr>
        <w:t xml:space="preserve">[El Oferente completará estos formularios de Listas de Precios de acuerdo con las instrucciones indicadas. La lista de artículos y lotes en la columna 1 de la </w:t>
      </w:r>
      <w:r>
        <w:rPr>
          <w:rFonts w:ascii="Times New Roman" w:hAnsi="Times New Roman" w:cs="Times New Roman"/>
          <w:b/>
          <w:bCs/>
          <w:i/>
          <w:iCs/>
          <w:color w:val="0070C0"/>
          <w:sz w:val="22"/>
          <w:szCs w:val="22"/>
          <w:lang w:val="es-ES"/>
        </w:rPr>
        <w:t>Lista de Precios</w:t>
      </w:r>
      <w:r>
        <w:rPr>
          <w:rFonts w:ascii="Times New Roman" w:hAnsi="Times New Roman" w:cs="Times New Roman"/>
          <w:i/>
          <w:iCs/>
          <w:color w:val="0070C0"/>
          <w:sz w:val="22"/>
          <w:szCs w:val="22"/>
          <w:lang w:val="es-ES"/>
        </w:rPr>
        <w:t xml:space="preserve"> deberá coincidir con la Lista de Bienes y Servicios Conexos detallada por el Comprador en la Lista de Requisitos de los Bienes y en la Lista de Servicios Conexos].</w:t>
      </w:r>
    </w:p>
    <w:p>
      <w:pPr>
        <w:pStyle w:val="Textoindependiente"/>
        <w:rPr>
          <w:rFonts w:ascii="Times New Roman" w:hAnsi="Times New Roman" w:cs="Times New Roman"/>
          <w:sz w:val="22"/>
          <w:szCs w:val="22"/>
          <w:lang w:val="es-ES"/>
        </w:rPr>
      </w:pPr>
    </w:p>
    <w:p>
      <w:pPr>
        <w:pStyle w:val="Textoindependiente"/>
        <w:jc w:val="center"/>
        <w:rPr>
          <w:rFonts w:ascii="Times New Roman" w:hAnsi="Times New Roman" w:cs="Times New Roman"/>
          <w:sz w:val="22"/>
          <w:szCs w:val="22"/>
          <w:lang w:val="es-ES"/>
        </w:rPr>
      </w:pPr>
    </w:p>
    <w:p>
      <w:pPr>
        <w:pStyle w:val="Textoindependiente"/>
        <w:jc w:val="center"/>
        <w:rPr>
          <w:rFonts w:ascii="Times New Roman" w:hAnsi="Times New Roman" w:cs="Times New Roman"/>
          <w:sz w:val="22"/>
          <w:szCs w:val="22"/>
          <w:lang w:val="es-ES"/>
        </w:rPr>
      </w:pPr>
    </w:p>
    <w:p>
      <w:pPr>
        <w:pStyle w:val="Textoindependiente"/>
        <w:jc w:val="center"/>
        <w:rPr>
          <w:rFonts w:ascii="Times New Roman" w:hAnsi="Times New Roman" w:cs="Times New Roman"/>
          <w:lang w:val="es-ES"/>
        </w:rPr>
        <w:sectPr>
          <w:headerReference w:type="even" r:id="rId34"/>
          <w:headerReference w:type="default" r:id="rId35"/>
          <w:headerReference w:type="first" r:id="rId36"/>
          <w:pgSz w:w="11906" w:h="16838" w:code="9"/>
          <w:pgMar w:top="1440" w:right="1440" w:bottom="1440" w:left="1800" w:header="720" w:footer="720" w:gutter="0"/>
          <w:paperSrc w:first="15" w:other="15"/>
          <w:cols w:space="720"/>
          <w:titlePg/>
        </w:sectPr>
      </w:pPr>
    </w:p>
    <w:p>
      <w:pPr>
        <w:pStyle w:val="Textoindependiente"/>
        <w:jc w:val="center"/>
        <w:rPr>
          <w:rFonts w:ascii="Times New Roman" w:hAnsi="Times New Roman" w:cs="Times New Roman"/>
          <w:b/>
          <w:bCs/>
          <w:iCs/>
          <w:spacing w:val="-2"/>
          <w:sz w:val="22"/>
          <w:szCs w:val="22"/>
        </w:rPr>
      </w:pPr>
      <w:bookmarkStart w:id="694" w:name="_Toc454620978"/>
      <w:bookmarkStart w:id="695" w:name="_Toc486939188"/>
      <w:bookmarkStart w:id="696" w:name="_Toc454620980"/>
      <w:bookmarkStart w:id="697" w:name="_Toc347230624"/>
      <w:bookmarkStart w:id="698" w:name="_Toc486939190"/>
      <w:bookmarkStart w:id="699" w:name="_Toc175250623"/>
      <w:r>
        <w:rPr>
          <w:rFonts w:ascii="Times New Roman" w:hAnsi="Times New Roman" w:cs="Times New Roman"/>
          <w:b/>
          <w:bCs/>
          <w:iCs/>
          <w:spacing w:val="-2"/>
          <w:sz w:val="22"/>
          <w:szCs w:val="22"/>
        </w:rPr>
        <w:lastRenderedPageBreak/>
        <w:t xml:space="preserve">Lista de Precios: </w:t>
      </w:r>
      <w:bookmarkEnd w:id="694"/>
      <w:bookmarkEnd w:id="695"/>
      <w:r>
        <w:rPr>
          <w:rFonts w:ascii="Times New Roman" w:hAnsi="Times New Roman" w:cs="Times New Roman"/>
          <w:b/>
          <w:bCs/>
          <w:iCs/>
          <w:spacing w:val="-2"/>
          <w:sz w:val="22"/>
          <w:szCs w:val="22"/>
        </w:rPr>
        <w:t>Servicios diferentes de consultoría</w:t>
      </w:r>
    </w:p>
    <w:p>
      <w:pPr>
        <w:pStyle w:val="Textoindependiente"/>
        <w:spacing w:after="120"/>
        <w:rPr>
          <w:rFonts w:ascii="Times New Roman" w:hAnsi="Times New Roman" w:cs="Times New Roman"/>
          <w:sz w:val="22"/>
          <w:szCs w:val="22"/>
        </w:rPr>
      </w:pPr>
    </w:p>
    <w:p>
      <w:pPr>
        <w:pStyle w:val="Textoindependiente"/>
        <w:spacing w:after="120"/>
        <w:rPr>
          <w:rFonts w:ascii="Times New Roman" w:hAnsi="Times New Roman" w:cs="Times New Roman"/>
          <w:i/>
          <w:color w:val="4472C4"/>
        </w:rPr>
      </w:pPr>
      <w:r>
        <w:rPr>
          <w:rFonts w:ascii="Times New Roman" w:hAnsi="Times New Roman" w:cs="Times New Roman"/>
          <w:i/>
          <w:color w:val="4472C4"/>
        </w:rPr>
        <w:t>[El Oferente completará los Formularios de Listas de Precios de servicios diferentes de consultoría, acuerdo con las instrucciones indicadas. La Lista de Artículos de este formulario deberá coincidir con la Lista de Requerimientos detallada por el Contratante en los Requisitos de los Bienes y Servicios.]</w:t>
      </w:r>
    </w:p>
    <w:tbl>
      <w:tblPr>
        <w:tblW w:w="5000" w:type="pct"/>
        <w:tblLook w:val="04A0" w:firstRow="1" w:lastRow="0" w:firstColumn="1" w:lastColumn="0" w:noHBand="0" w:noVBand="1"/>
      </w:tblPr>
      <w:tblGrid>
        <w:gridCol w:w="950"/>
        <w:gridCol w:w="3716"/>
        <w:gridCol w:w="1306"/>
        <w:gridCol w:w="2399"/>
        <w:gridCol w:w="2377"/>
        <w:gridCol w:w="3200"/>
      </w:tblGrid>
      <w:tr>
        <w:trPr>
          <w:trHeight w:val="576"/>
        </w:trPr>
        <w:tc>
          <w:tcPr>
            <w:tcW w:w="276" w:type="pct"/>
            <w:tcBorders>
              <w:top w:val="single" w:sz="4" w:space="0" w:color="auto"/>
              <w:left w:val="single" w:sz="4" w:space="0" w:color="auto"/>
              <w:bottom w:val="single" w:sz="4" w:space="0" w:color="auto"/>
              <w:right w:val="single" w:sz="4" w:space="0" w:color="auto"/>
            </w:tcBorders>
            <w:shd w:val="clear" w:color="000000" w:fill="FFFFFF"/>
            <w:hideMark/>
          </w:tcPr>
          <w:p>
            <w:pPr>
              <w:jc w:val="center"/>
              <w:rPr>
                <w:b/>
                <w:bCs/>
                <w:sz w:val="16"/>
                <w:szCs w:val="16"/>
              </w:rPr>
            </w:pPr>
            <w:r>
              <w:rPr>
                <w:b/>
                <w:bCs/>
                <w:iCs/>
                <w:sz w:val="22"/>
                <w:szCs w:val="22"/>
              </w:rPr>
              <w:t>N.</w:t>
            </w:r>
            <w:r>
              <w:rPr>
                <w:b/>
                <w:bCs/>
                <w:iCs/>
                <w:sz w:val="22"/>
                <w:szCs w:val="22"/>
              </w:rPr>
              <w:sym w:font="Symbol" w:char="F0B0"/>
            </w:r>
            <w:r>
              <w:rPr>
                <w:b/>
                <w:bCs/>
                <w:iCs/>
                <w:sz w:val="22"/>
                <w:szCs w:val="22"/>
              </w:rPr>
              <w:t>de artículo</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pPr>
              <w:jc w:val="center"/>
              <w:rPr>
                <w:b/>
                <w:bCs/>
                <w:color w:val="000000"/>
                <w:sz w:val="22"/>
                <w:szCs w:val="22"/>
              </w:rPr>
            </w:pPr>
            <w:r>
              <w:rPr>
                <w:b/>
                <w:bCs/>
                <w:iCs/>
                <w:sz w:val="22"/>
                <w:szCs w:val="22"/>
              </w:rPr>
              <w:t>DESCRIPCIÓN</w:t>
            </w:r>
          </w:p>
        </w:tc>
        <w:tc>
          <w:tcPr>
            <w:tcW w:w="481" w:type="pct"/>
            <w:tcBorders>
              <w:top w:val="single" w:sz="4" w:space="0" w:color="auto"/>
              <w:left w:val="nil"/>
              <w:bottom w:val="single" w:sz="4" w:space="0" w:color="auto"/>
              <w:right w:val="single" w:sz="4" w:space="0" w:color="auto"/>
            </w:tcBorders>
            <w:shd w:val="clear" w:color="000000" w:fill="FFFFFF"/>
            <w:vAlign w:val="center"/>
            <w:hideMark/>
          </w:tcPr>
          <w:p>
            <w:pPr>
              <w:jc w:val="center"/>
              <w:rPr>
                <w:b/>
                <w:bCs/>
                <w:color w:val="000000"/>
                <w:sz w:val="22"/>
                <w:szCs w:val="22"/>
              </w:rPr>
            </w:pPr>
            <w:r>
              <w:rPr>
                <w:b/>
                <w:bCs/>
                <w:color w:val="000000"/>
                <w:sz w:val="22"/>
                <w:szCs w:val="22"/>
              </w:rPr>
              <w:t>UNIDAD</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pPr>
              <w:jc w:val="center"/>
              <w:rPr>
                <w:b/>
                <w:bCs/>
                <w:color w:val="000000"/>
                <w:sz w:val="22"/>
                <w:szCs w:val="22"/>
              </w:rPr>
            </w:pPr>
            <w:r>
              <w:rPr>
                <w:b/>
                <w:bCs/>
                <w:color w:val="000000"/>
                <w:sz w:val="22"/>
                <w:szCs w:val="22"/>
              </w:rPr>
              <w:t>CANTIDAD</w:t>
            </w:r>
            <w:r>
              <w:rPr>
                <w:rStyle w:val="Refdenotaalpie"/>
                <w:b/>
                <w:bCs/>
                <w:color w:val="000000"/>
                <w:sz w:val="22"/>
                <w:szCs w:val="22"/>
              </w:rPr>
              <w:footnoteReference w:id="10"/>
            </w:r>
            <w:r>
              <w:rPr>
                <w:b/>
                <w:bCs/>
                <w:color w:val="000000"/>
                <w:sz w:val="22"/>
                <w:szCs w:val="22"/>
              </w:rPr>
              <w:br/>
            </w:r>
            <w:r>
              <w:rPr>
                <w:i/>
                <w:iCs/>
                <w:color w:val="000000"/>
                <w:sz w:val="22"/>
                <w:szCs w:val="22"/>
              </w:rPr>
              <w:t>(a)</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pPr>
              <w:jc w:val="center"/>
              <w:rPr>
                <w:b/>
                <w:bCs/>
                <w:color w:val="000000"/>
                <w:sz w:val="22"/>
                <w:szCs w:val="22"/>
              </w:rPr>
            </w:pPr>
            <w:r>
              <w:rPr>
                <w:b/>
                <w:bCs/>
                <w:color w:val="000000"/>
                <w:sz w:val="22"/>
                <w:szCs w:val="22"/>
              </w:rPr>
              <w:t>PRECIO UNITARIO</w:t>
            </w:r>
            <w:r>
              <w:rPr>
                <w:rStyle w:val="Refdenotaalpie"/>
                <w:b/>
                <w:bCs/>
                <w:color w:val="000000"/>
                <w:sz w:val="22"/>
                <w:szCs w:val="22"/>
              </w:rPr>
              <w:footnoteReference w:id="11"/>
            </w:r>
            <w:r>
              <w:rPr>
                <w:b/>
                <w:bCs/>
                <w:color w:val="000000"/>
                <w:sz w:val="22"/>
                <w:szCs w:val="22"/>
              </w:rPr>
              <w:br/>
            </w:r>
            <w:r>
              <w:rPr>
                <w:i/>
                <w:iCs/>
                <w:color w:val="000000"/>
                <w:sz w:val="22"/>
                <w:szCs w:val="22"/>
              </w:rPr>
              <w:t>(b)</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pPr>
              <w:jc w:val="center"/>
              <w:rPr>
                <w:b/>
                <w:bCs/>
                <w:color w:val="000000"/>
                <w:sz w:val="22"/>
                <w:szCs w:val="22"/>
              </w:rPr>
            </w:pPr>
            <w:r>
              <w:rPr>
                <w:b/>
                <w:bCs/>
                <w:sz w:val="22"/>
                <w:szCs w:val="22"/>
              </w:rPr>
              <w:t>PRECIO TOTAL</w:t>
            </w:r>
            <w:r>
              <w:rPr>
                <w:b/>
                <w:bCs/>
                <w:sz w:val="22"/>
                <w:szCs w:val="22"/>
              </w:rPr>
              <w:br/>
            </w:r>
            <w:r>
              <w:rPr>
                <w:i/>
                <w:iCs/>
                <w:color w:val="000000"/>
                <w:sz w:val="22"/>
                <w:szCs w:val="22"/>
              </w:rPr>
              <w:t>(c)</w:t>
            </w:r>
          </w:p>
        </w:tc>
      </w:tr>
      <w:tr>
        <w:trPr>
          <w:trHeight w:val="576"/>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1</w:t>
            </w:r>
          </w:p>
        </w:tc>
        <w:tc>
          <w:tcPr>
            <w:tcW w:w="1345" w:type="pct"/>
            <w:tcBorders>
              <w:top w:val="nil"/>
              <w:left w:val="nil"/>
              <w:bottom w:val="single" w:sz="4" w:space="0" w:color="auto"/>
              <w:right w:val="single" w:sz="4" w:space="0" w:color="auto"/>
            </w:tcBorders>
            <w:shd w:val="clear" w:color="auto" w:fill="auto"/>
            <w:vAlign w:val="center"/>
            <w:hideMark/>
          </w:tcPr>
          <w:p>
            <w:pPr>
              <w:jc w:val="both"/>
              <w:rPr>
                <w:i/>
                <w:iCs/>
                <w:color w:val="0070C0"/>
                <w:sz w:val="22"/>
                <w:szCs w:val="22"/>
              </w:rPr>
            </w:pPr>
            <w:r>
              <w:rPr>
                <w:i/>
                <w:iCs/>
                <w:color w:val="0070C0"/>
                <w:sz w:val="22"/>
                <w:szCs w:val="22"/>
              </w:rPr>
              <w:t>Detallar todos los servicios diferentes de consultoría</w:t>
            </w:r>
          </w:p>
        </w:tc>
        <w:tc>
          <w:tcPr>
            <w:tcW w:w="481" w:type="pct"/>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color w:val="000000"/>
                <w:sz w:val="22"/>
                <w:szCs w:val="22"/>
              </w:rPr>
            </w:pPr>
            <w:r>
              <w:rPr>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i/>
                <w:iCs/>
                <w:color w:val="000000"/>
                <w:sz w:val="22"/>
                <w:szCs w:val="22"/>
              </w:rPr>
            </w:pPr>
            <w:r>
              <w:rPr>
                <w:i/>
                <w:iCs/>
                <w:color w:val="000000"/>
                <w:sz w:val="22"/>
                <w:szCs w:val="22"/>
              </w:rPr>
              <w:t>c=a*b</w:t>
            </w:r>
          </w:p>
        </w:tc>
      </w:tr>
      <w:tr>
        <w:trPr>
          <w:trHeight w:val="348"/>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2</w:t>
            </w:r>
          </w:p>
        </w:tc>
        <w:tc>
          <w:tcPr>
            <w:tcW w:w="1345" w:type="pct"/>
            <w:tcBorders>
              <w:top w:val="nil"/>
              <w:left w:val="nil"/>
              <w:bottom w:val="single" w:sz="4" w:space="0" w:color="auto"/>
              <w:right w:val="single" w:sz="4" w:space="0" w:color="auto"/>
            </w:tcBorders>
            <w:shd w:val="clear" w:color="auto" w:fill="auto"/>
            <w:vAlign w:val="center"/>
            <w:hideMark/>
          </w:tcPr>
          <w:p>
            <w:pPr>
              <w:jc w:val="both"/>
              <w:rPr>
                <w:i/>
                <w:iCs/>
                <w:color w:val="548DD4"/>
                <w:sz w:val="22"/>
                <w:szCs w:val="22"/>
              </w:rPr>
            </w:pPr>
            <w:r>
              <w:rPr>
                <w:i/>
                <w:iCs/>
                <w:color w:val="548DD4"/>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color w:val="000000"/>
                <w:sz w:val="22"/>
                <w:szCs w:val="22"/>
              </w:rPr>
            </w:pPr>
            <w:r>
              <w:rPr>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both"/>
              <w:rPr>
                <w:color w:val="000000"/>
                <w:sz w:val="22"/>
                <w:szCs w:val="22"/>
              </w:rPr>
            </w:pPr>
            <w:r>
              <w:rPr>
                <w:color w:val="000000"/>
                <w:sz w:val="22"/>
                <w:szCs w:val="22"/>
              </w:rPr>
              <w:t> </w:t>
            </w:r>
          </w:p>
        </w:tc>
      </w:tr>
      <w:tr>
        <w:trPr>
          <w:trHeight w:val="348"/>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i/>
                <w:iCs/>
                <w:color w:val="000000"/>
                <w:sz w:val="22"/>
                <w:szCs w:val="22"/>
              </w:rPr>
            </w:pPr>
            <w:r>
              <w:rPr>
                <w:i/>
                <w:iCs/>
                <w:color w:val="000000"/>
                <w:sz w:val="22"/>
                <w:szCs w:val="22"/>
              </w:rPr>
              <w:t>n</w:t>
            </w:r>
          </w:p>
        </w:tc>
        <w:tc>
          <w:tcPr>
            <w:tcW w:w="1345" w:type="pct"/>
            <w:tcBorders>
              <w:top w:val="nil"/>
              <w:left w:val="nil"/>
              <w:bottom w:val="single" w:sz="4" w:space="0" w:color="auto"/>
              <w:right w:val="single" w:sz="4" w:space="0" w:color="auto"/>
            </w:tcBorders>
            <w:shd w:val="clear" w:color="auto" w:fill="auto"/>
            <w:vAlign w:val="center"/>
            <w:hideMark/>
          </w:tcPr>
          <w:p>
            <w:pPr>
              <w:jc w:val="both"/>
              <w:rPr>
                <w:i/>
                <w:iCs/>
                <w:color w:val="548DD4"/>
                <w:sz w:val="22"/>
                <w:szCs w:val="22"/>
              </w:rPr>
            </w:pPr>
            <w:r>
              <w:rPr>
                <w:i/>
                <w:iCs/>
                <w:color w:val="548DD4"/>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color w:val="000000"/>
                <w:sz w:val="22"/>
                <w:szCs w:val="22"/>
              </w:rPr>
            </w:pPr>
            <w:r>
              <w:rPr>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both"/>
              <w:rPr>
                <w:color w:val="000000"/>
                <w:sz w:val="22"/>
                <w:szCs w:val="22"/>
              </w:rPr>
            </w:pPr>
            <w:r>
              <w:rPr>
                <w:color w:val="000000"/>
                <w:sz w:val="22"/>
                <w:szCs w:val="22"/>
              </w:rPr>
              <w:t> </w:t>
            </w:r>
          </w:p>
        </w:tc>
      </w:tr>
      <w:tr>
        <w:trPr>
          <w:trHeight w:val="576"/>
        </w:trPr>
        <w:tc>
          <w:tcPr>
            <w:tcW w:w="276" w:type="pct"/>
            <w:tcBorders>
              <w:top w:val="nil"/>
              <w:left w:val="nil"/>
              <w:bottom w:val="nil"/>
              <w:right w:val="nil"/>
            </w:tcBorders>
            <w:shd w:val="clear" w:color="auto" w:fill="auto"/>
            <w:vAlign w:val="center"/>
            <w:hideMark/>
          </w:tcPr>
          <w:p>
            <w:pPr>
              <w:jc w:val="both"/>
              <w:rPr>
                <w:color w:val="000000"/>
                <w:sz w:val="22"/>
                <w:szCs w:val="22"/>
              </w:rPr>
            </w:pPr>
          </w:p>
        </w:tc>
        <w:tc>
          <w:tcPr>
            <w:tcW w:w="1345" w:type="pct"/>
            <w:tcBorders>
              <w:top w:val="nil"/>
              <w:left w:val="nil"/>
              <w:bottom w:val="nil"/>
              <w:right w:val="nil"/>
            </w:tcBorders>
            <w:shd w:val="clear" w:color="auto" w:fill="auto"/>
            <w:vAlign w:val="center"/>
            <w:hideMark/>
          </w:tcPr>
          <w:p>
            <w:pPr>
              <w:jc w:val="center"/>
              <w:rPr>
                <w:sz w:val="22"/>
              </w:rPr>
            </w:pPr>
          </w:p>
        </w:tc>
        <w:tc>
          <w:tcPr>
            <w:tcW w:w="481" w:type="pct"/>
            <w:tcBorders>
              <w:top w:val="nil"/>
              <w:left w:val="nil"/>
              <w:bottom w:val="nil"/>
              <w:right w:val="nil"/>
            </w:tcBorders>
            <w:shd w:val="clear" w:color="auto" w:fill="auto"/>
            <w:vAlign w:val="center"/>
            <w:hideMark/>
          </w:tcPr>
          <w:p>
            <w:pPr>
              <w:jc w:val="both"/>
              <w:rPr>
                <w:sz w:val="22"/>
              </w:rPr>
            </w:pPr>
          </w:p>
        </w:tc>
        <w:tc>
          <w:tcPr>
            <w:tcW w:w="873" w:type="pct"/>
            <w:tcBorders>
              <w:top w:val="nil"/>
              <w:left w:val="nil"/>
              <w:bottom w:val="nil"/>
              <w:right w:val="nil"/>
            </w:tcBorders>
            <w:shd w:val="clear" w:color="auto" w:fill="auto"/>
            <w:noWrap/>
            <w:vAlign w:val="bottom"/>
            <w:hideMark/>
          </w:tcPr>
          <w:p>
            <w:pPr>
              <w:jc w:val="both"/>
              <w:rPr>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b/>
                <w:bCs/>
                <w:color w:val="000000"/>
                <w:sz w:val="22"/>
                <w:szCs w:val="22"/>
              </w:rPr>
            </w:pPr>
            <w:r>
              <w:rPr>
                <w:b/>
                <w:bCs/>
                <w:color w:val="000000"/>
                <w:sz w:val="22"/>
                <w:szCs w:val="22"/>
              </w:rPr>
              <w:t xml:space="preserve">SUBTOTAL </w:t>
            </w:r>
            <w:r>
              <w:rPr>
                <w:b/>
                <w:bCs/>
                <w:color w:val="000000"/>
                <w:sz w:val="22"/>
                <w:szCs w:val="22"/>
              </w:rPr>
              <w:br/>
            </w:r>
            <w:r>
              <w:rPr>
                <w:i/>
                <w:iCs/>
                <w:color w:val="000000"/>
                <w:sz w:val="22"/>
                <w:szCs w:val="22"/>
              </w:rPr>
              <w:t>(d)</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b/>
                <w:bCs/>
                <w:i/>
                <w:iCs/>
                <w:color w:val="0070C0"/>
                <w:sz w:val="22"/>
                <w:szCs w:val="22"/>
              </w:rPr>
            </w:pPr>
            <w:r>
              <w:rPr>
                <w:b/>
                <w:bCs/>
                <w:i/>
                <w:iCs/>
                <w:color w:val="0070C0"/>
                <w:sz w:val="22"/>
                <w:szCs w:val="22"/>
              </w:rPr>
              <w:t>d =</w:t>
            </w:r>
            <w:r>
              <w:rPr>
                <w:b/>
                <w:bCs/>
                <w:i/>
                <w:iCs/>
                <w:color w:val="0070C0"/>
                <w:sz w:val="22"/>
                <w:szCs w:val="22"/>
              </w:rPr>
              <w:t></w:t>
            </w:r>
            <w:r>
              <w:rPr>
                <w:b/>
                <w:bCs/>
                <w:i/>
                <w:iCs/>
                <w:color w:val="0070C0"/>
                <w:sz w:val="22"/>
                <w:szCs w:val="22"/>
              </w:rPr>
              <w:t></w:t>
            </w:r>
            <w:r>
              <w:rPr>
                <w:b/>
                <w:bCs/>
                <w:i/>
                <w:iCs/>
                <w:color w:val="0070C0"/>
                <w:sz w:val="22"/>
                <w:szCs w:val="22"/>
              </w:rPr>
              <w:t></w:t>
            </w:r>
            <w:r>
              <w:rPr>
                <w:b/>
                <w:bCs/>
                <w:i/>
                <w:iCs/>
                <w:color w:val="0070C0"/>
                <w:sz w:val="22"/>
                <w:szCs w:val="22"/>
              </w:rPr>
              <w:t>c) (todos los ítems)</w:t>
            </w:r>
          </w:p>
        </w:tc>
      </w:tr>
      <w:tr>
        <w:trPr>
          <w:trHeight w:val="576"/>
        </w:trPr>
        <w:tc>
          <w:tcPr>
            <w:tcW w:w="276" w:type="pct"/>
            <w:tcBorders>
              <w:top w:val="nil"/>
              <w:left w:val="nil"/>
              <w:bottom w:val="nil"/>
              <w:right w:val="nil"/>
            </w:tcBorders>
            <w:shd w:val="clear" w:color="auto" w:fill="auto"/>
            <w:vAlign w:val="center"/>
            <w:hideMark/>
          </w:tcPr>
          <w:p>
            <w:pPr>
              <w:jc w:val="center"/>
              <w:rPr>
                <w:b/>
                <w:bCs/>
                <w:i/>
                <w:iCs/>
                <w:color w:val="0070C0"/>
                <w:sz w:val="22"/>
                <w:szCs w:val="22"/>
              </w:rPr>
            </w:pPr>
          </w:p>
        </w:tc>
        <w:tc>
          <w:tcPr>
            <w:tcW w:w="1345" w:type="pct"/>
            <w:tcBorders>
              <w:top w:val="nil"/>
              <w:left w:val="nil"/>
              <w:bottom w:val="nil"/>
              <w:right w:val="nil"/>
            </w:tcBorders>
            <w:shd w:val="clear" w:color="auto" w:fill="auto"/>
            <w:vAlign w:val="center"/>
            <w:hideMark/>
          </w:tcPr>
          <w:p>
            <w:pPr>
              <w:jc w:val="center"/>
              <w:rPr>
                <w:sz w:val="22"/>
              </w:rPr>
            </w:pPr>
          </w:p>
        </w:tc>
        <w:tc>
          <w:tcPr>
            <w:tcW w:w="481" w:type="pct"/>
            <w:tcBorders>
              <w:top w:val="nil"/>
              <w:left w:val="nil"/>
              <w:bottom w:val="nil"/>
              <w:right w:val="nil"/>
            </w:tcBorders>
            <w:shd w:val="clear" w:color="auto" w:fill="auto"/>
            <w:vAlign w:val="center"/>
            <w:hideMark/>
          </w:tcPr>
          <w:p>
            <w:pPr>
              <w:jc w:val="both"/>
              <w:rPr>
                <w:sz w:val="22"/>
              </w:rPr>
            </w:pPr>
          </w:p>
        </w:tc>
        <w:tc>
          <w:tcPr>
            <w:tcW w:w="873" w:type="pct"/>
            <w:tcBorders>
              <w:top w:val="nil"/>
              <w:left w:val="nil"/>
              <w:bottom w:val="nil"/>
              <w:right w:val="nil"/>
            </w:tcBorders>
            <w:shd w:val="clear" w:color="auto" w:fill="auto"/>
            <w:noWrap/>
            <w:vAlign w:val="bottom"/>
            <w:hideMark/>
          </w:tcPr>
          <w:p>
            <w:pPr>
              <w:jc w:val="both"/>
              <w:rPr>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b/>
                <w:bCs/>
                <w:color w:val="000000"/>
                <w:sz w:val="22"/>
                <w:szCs w:val="22"/>
              </w:rPr>
            </w:pPr>
            <w:r>
              <w:rPr>
                <w:b/>
                <w:bCs/>
                <w:color w:val="000000"/>
                <w:sz w:val="22"/>
                <w:szCs w:val="22"/>
              </w:rPr>
              <w:t xml:space="preserve">IVA </w:t>
            </w:r>
            <w:r>
              <w:rPr>
                <w:b/>
                <w:bCs/>
                <w:color w:val="000000"/>
                <w:sz w:val="22"/>
                <w:szCs w:val="22"/>
              </w:rPr>
              <w:br/>
            </w:r>
            <w:r>
              <w:rPr>
                <w:i/>
                <w:iCs/>
                <w:color w:val="000000"/>
                <w:sz w:val="22"/>
                <w:szCs w:val="22"/>
              </w:rPr>
              <w:t>(e)</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b/>
                <w:bCs/>
                <w:i/>
                <w:iCs/>
                <w:sz w:val="22"/>
                <w:szCs w:val="22"/>
              </w:rPr>
            </w:pPr>
            <w:r>
              <w:rPr>
                <w:b/>
                <w:bCs/>
                <w:i/>
                <w:iCs/>
                <w:sz w:val="22"/>
                <w:szCs w:val="22"/>
              </w:rPr>
              <w:t>(e) = (d) * 15%</w:t>
            </w:r>
          </w:p>
        </w:tc>
      </w:tr>
      <w:tr>
        <w:trPr>
          <w:trHeight w:val="576"/>
        </w:trPr>
        <w:tc>
          <w:tcPr>
            <w:tcW w:w="276" w:type="pct"/>
            <w:tcBorders>
              <w:top w:val="nil"/>
              <w:left w:val="nil"/>
              <w:bottom w:val="nil"/>
              <w:right w:val="nil"/>
            </w:tcBorders>
            <w:shd w:val="clear" w:color="auto" w:fill="auto"/>
            <w:vAlign w:val="center"/>
            <w:hideMark/>
          </w:tcPr>
          <w:p>
            <w:pPr>
              <w:jc w:val="center"/>
              <w:rPr>
                <w:b/>
                <w:bCs/>
                <w:i/>
                <w:iCs/>
                <w:color w:val="0070C0"/>
                <w:sz w:val="22"/>
                <w:szCs w:val="22"/>
              </w:rPr>
            </w:pPr>
          </w:p>
        </w:tc>
        <w:tc>
          <w:tcPr>
            <w:tcW w:w="1345" w:type="pct"/>
            <w:tcBorders>
              <w:top w:val="nil"/>
              <w:left w:val="nil"/>
              <w:bottom w:val="nil"/>
              <w:right w:val="nil"/>
            </w:tcBorders>
            <w:shd w:val="clear" w:color="auto" w:fill="auto"/>
            <w:vAlign w:val="center"/>
            <w:hideMark/>
          </w:tcPr>
          <w:p>
            <w:pPr>
              <w:jc w:val="center"/>
              <w:rPr>
                <w:sz w:val="22"/>
              </w:rPr>
            </w:pPr>
          </w:p>
        </w:tc>
        <w:tc>
          <w:tcPr>
            <w:tcW w:w="481" w:type="pct"/>
            <w:tcBorders>
              <w:top w:val="nil"/>
              <w:left w:val="nil"/>
              <w:bottom w:val="nil"/>
              <w:right w:val="nil"/>
            </w:tcBorders>
            <w:shd w:val="clear" w:color="auto" w:fill="auto"/>
            <w:vAlign w:val="center"/>
            <w:hideMark/>
          </w:tcPr>
          <w:p>
            <w:pPr>
              <w:jc w:val="both"/>
              <w:rPr>
                <w:sz w:val="22"/>
              </w:rPr>
            </w:pPr>
          </w:p>
        </w:tc>
        <w:tc>
          <w:tcPr>
            <w:tcW w:w="873" w:type="pct"/>
            <w:tcBorders>
              <w:top w:val="nil"/>
              <w:left w:val="nil"/>
              <w:bottom w:val="nil"/>
              <w:right w:val="nil"/>
            </w:tcBorders>
            <w:shd w:val="clear" w:color="auto" w:fill="auto"/>
            <w:noWrap/>
            <w:vAlign w:val="bottom"/>
            <w:hideMark/>
          </w:tcPr>
          <w:p>
            <w:pPr>
              <w:jc w:val="both"/>
              <w:rPr>
                <w:sz w:val="22"/>
              </w:rPr>
            </w:pPr>
          </w:p>
          <w:p>
            <w:pPr>
              <w:jc w:val="both"/>
              <w:rPr>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b/>
                <w:bCs/>
                <w:color w:val="000000"/>
                <w:sz w:val="22"/>
                <w:szCs w:val="22"/>
              </w:rPr>
            </w:pPr>
            <w:r>
              <w:rPr>
                <w:b/>
                <w:bCs/>
                <w:color w:val="000000"/>
                <w:sz w:val="22"/>
                <w:szCs w:val="22"/>
              </w:rPr>
              <w:t>TOTAL</w:t>
            </w:r>
            <w:r>
              <w:rPr>
                <w:b/>
                <w:bCs/>
                <w:color w:val="000000"/>
                <w:sz w:val="22"/>
                <w:szCs w:val="22"/>
              </w:rPr>
              <w:br/>
            </w:r>
            <w:r>
              <w:rPr>
                <w:i/>
                <w:iCs/>
                <w:color w:val="000000"/>
                <w:sz w:val="22"/>
                <w:szCs w:val="22"/>
              </w:rPr>
              <w:t>(f)</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b/>
                <w:bCs/>
                <w:i/>
                <w:iCs/>
                <w:sz w:val="22"/>
                <w:szCs w:val="22"/>
              </w:rPr>
            </w:pPr>
            <w:r>
              <w:rPr>
                <w:b/>
                <w:bCs/>
                <w:i/>
                <w:iCs/>
                <w:sz w:val="22"/>
                <w:szCs w:val="22"/>
              </w:rPr>
              <w:t xml:space="preserve">(f) = (d) + (e) </w:t>
            </w:r>
          </w:p>
        </w:tc>
      </w:tr>
    </w:tbl>
    <w:p>
      <w:pPr>
        <w:pStyle w:val="Textoindependiente"/>
        <w:spacing w:after="120"/>
        <w:rPr>
          <w:rFonts w:ascii="Times New Roman" w:hAnsi="Times New Roman" w:cs="Times New Roman"/>
          <w:i/>
          <w:color w:val="4472C4"/>
          <w:sz w:val="24"/>
        </w:rPr>
      </w:pPr>
    </w:p>
    <w:bookmarkEnd w:id="696"/>
    <w:bookmarkEnd w:id="697"/>
    <w:bookmarkEnd w:id="698"/>
    <w:bookmarkEnd w:id="699"/>
    <w:p>
      <w:pPr>
        <w:spacing w:before="240"/>
        <w:rPr>
          <w:lang w:val="es-ES"/>
        </w:rPr>
      </w:pPr>
    </w:p>
    <w:p>
      <w:pPr>
        <w:spacing w:before="240"/>
        <w:rPr>
          <w:lang w:val="es-ES"/>
        </w:rPr>
      </w:pPr>
    </w:p>
    <w:p>
      <w:pPr>
        <w:spacing w:before="240"/>
        <w:rPr>
          <w:lang w:val="es-ES"/>
        </w:rPr>
      </w:pPr>
    </w:p>
    <w:p>
      <w:pPr>
        <w:tabs>
          <w:tab w:val="center" w:pos="4333"/>
        </w:tabs>
        <w:rPr>
          <w:lang w:val="es-ES"/>
        </w:rPr>
      </w:pPr>
    </w:p>
    <w:p>
      <w:pPr>
        <w:tabs>
          <w:tab w:val="center" w:pos="4333"/>
        </w:tabs>
        <w:rPr>
          <w:lang w:val="es-ES"/>
        </w:rPr>
      </w:pPr>
    </w:p>
    <w:tbl>
      <w:tblPr>
        <w:tblW w:w="12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trPr>
          <w:jc w:val="center"/>
        </w:trPr>
        <w:tc>
          <w:tcPr>
            <w:tcW w:w="12888" w:type="dxa"/>
            <w:gridSpan w:val="8"/>
            <w:tcBorders>
              <w:top w:val="nil"/>
              <w:left w:val="nil"/>
              <w:bottom w:val="double" w:sz="4" w:space="0" w:color="auto"/>
              <w:right w:val="nil"/>
            </w:tcBorders>
          </w:tcPr>
          <w:p>
            <w:pPr>
              <w:pStyle w:val="Requisitos"/>
              <w:rPr>
                <w:rFonts w:ascii="Times New Roman" w:hAnsi="Times New Roman"/>
                <w:lang w:val="es-EC"/>
              </w:rPr>
            </w:pPr>
            <w:bookmarkStart w:id="700" w:name="_Hlk193546284"/>
            <w:r>
              <w:rPr>
                <w:rFonts w:ascii="Times New Roman" w:hAnsi="Times New Roman"/>
                <w:lang w:val="es-EC"/>
              </w:rPr>
              <w:t>Lista de Servicios diferentes de Consultoría y Cronograma de Entregas</w:t>
            </w:r>
            <w:bookmarkEnd w:id="700"/>
          </w:p>
        </w:tc>
      </w:tr>
      <w:tr>
        <w:trPr>
          <w:jc w:val="center"/>
        </w:trPr>
        <w:tc>
          <w:tcPr>
            <w:tcW w:w="1242" w:type="dxa"/>
            <w:vMerge w:val="restart"/>
            <w:tcBorders>
              <w:top w:val="double" w:sz="4" w:space="0" w:color="auto"/>
              <w:left w:val="double" w:sz="4" w:space="0" w:color="auto"/>
              <w:right w:val="single" w:sz="4" w:space="0" w:color="auto"/>
            </w:tcBorders>
          </w:tcPr>
          <w:p>
            <w:pPr>
              <w:suppressAutoHyphens/>
              <w:spacing w:before="60"/>
              <w:jc w:val="center"/>
              <w:rPr>
                <w:b/>
                <w:bCs/>
                <w:sz w:val="16"/>
                <w:szCs w:val="16"/>
              </w:rPr>
            </w:pPr>
            <w:r>
              <w:rPr>
                <w:b/>
                <w:bCs/>
                <w:sz w:val="16"/>
                <w:szCs w:val="16"/>
              </w:rPr>
              <w:t>N.</w:t>
            </w:r>
            <w:r>
              <w:rPr>
                <w:sz w:val="16"/>
                <w:szCs w:val="16"/>
              </w:rPr>
              <w:sym w:font="Symbol" w:char="F0B0"/>
            </w:r>
            <w:r>
              <w:rPr>
                <w:b/>
                <w:bCs/>
                <w:sz w:val="16"/>
                <w:szCs w:val="16"/>
              </w:rPr>
              <w:t>de artículo</w:t>
            </w:r>
          </w:p>
        </w:tc>
        <w:tc>
          <w:tcPr>
            <w:tcW w:w="1985" w:type="dxa"/>
            <w:vMerge w:val="restart"/>
            <w:tcBorders>
              <w:top w:val="double" w:sz="4" w:space="0" w:color="auto"/>
              <w:left w:val="single" w:sz="4" w:space="0" w:color="auto"/>
              <w:right w:val="single" w:sz="4" w:space="0" w:color="auto"/>
            </w:tcBorders>
          </w:tcPr>
          <w:p>
            <w:pPr>
              <w:suppressAutoHyphens/>
              <w:spacing w:before="60"/>
              <w:jc w:val="center"/>
              <w:rPr>
                <w:b/>
                <w:bCs/>
                <w:sz w:val="16"/>
                <w:szCs w:val="16"/>
              </w:rPr>
            </w:pPr>
            <w:r>
              <w:rPr>
                <w:b/>
                <w:bCs/>
                <w:sz w:val="16"/>
                <w:szCs w:val="16"/>
              </w:rPr>
              <w:t xml:space="preserve">Descripción de los servicios diferentes de consultoría </w:t>
            </w:r>
          </w:p>
        </w:tc>
        <w:tc>
          <w:tcPr>
            <w:tcW w:w="1417" w:type="dxa"/>
            <w:vMerge w:val="restart"/>
            <w:tcBorders>
              <w:top w:val="double" w:sz="4" w:space="0" w:color="auto"/>
              <w:left w:val="single" w:sz="4" w:space="0" w:color="auto"/>
              <w:right w:val="single" w:sz="4" w:space="0" w:color="auto"/>
            </w:tcBorders>
          </w:tcPr>
          <w:p>
            <w:pPr>
              <w:suppressAutoHyphens/>
              <w:spacing w:before="60"/>
              <w:jc w:val="center"/>
              <w:rPr>
                <w:b/>
                <w:bCs/>
                <w:sz w:val="16"/>
                <w:szCs w:val="16"/>
              </w:rPr>
            </w:pPr>
            <w:r>
              <w:rPr>
                <w:b/>
                <w:bCs/>
                <w:sz w:val="16"/>
                <w:szCs w:val="16"/>
              </w:rPr>
              <w:t>Cantidad</w:t>
            </w:r>
          </w:p>
        </w:tc>
        <w:tc>
          <w:tcPr>
            <w:tcW w:w="1134" w:type="dxa"/>
            <w:vMerge w:val="restart"/>
            <w:tcBorders>
              <w:top w:val="double" w:sz="4" w:space="0" w:color="auto"/>
              <w:left w:val="single" w:sz="4" w:space="0" w:color="auto"/>
              <w:right w:val="single" w:sz="4" w:space="0" w:color="auto"/>
            </w:tcBorders>
          </w:tcPr>
          <w:p>
            <w:pPr>
              <w:suppressAutoHyphens/>
              <w:spacing w:before="60"/>
              <w:jc w:val="center"/>
              <w:rPr>
                <w:b/>
                <w:bCs/>
                <w:sz w:val="16"/>
                <w:szCs w:val="16"/>
              </w:rPr>
            </w:pPr>
            <w:r>
              <w:rPr>
                <w:b/>
                <w:bCs/>
                <w:sz w:val="16"/>
                <w:szCs w:val="16"/>
              </w:rPr>
              <w:t>Unidad física</w:t>
            </w:r>
          </w:p>
        </w:tc>
        <w:tc>
          <w:tcPr>
            <w:tcW w:w="1490" w:type="dxa"/>
            <w:vMerge w:val="restart"/>
            <w:tcBorders>
              <w:top w:val="double" w:sz="4" w:space="0" w:color="auto"/>
              <w:left w:val="single" w:sz="4" w:space="0" w:color="auto"/>
              <w:right w:val="single" w:sz="4" w:space="0" w:color="auto"/>
            </w:tcBorders>
          </w:tcPr>
          <w:p>
            <w:pPr>
              <w:spacing w:before="60"/>
              <w:jc w:val="center"/>
              <w:rPr>
                <w:b/>
                <w:bCs/>
                <w:sz w:val="16"/>
                <w:szCs w:val="16"/>
              </w:rPr>
            </w:pPr>
            <w:r>
              <w:rPr>
                <w:b/>
                <w:bCs/>
                <w:sz w:val="16"/>
                <w:szCs w:val="16"/>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pPr>
              <w:spacing w:before="60" w:after="60"/>
              <w:jc w:val="center"/>
              <w:rPr>
                <w:sz w:val="16"/>
                <w:szCs w:val="16"/>
              </w:rPr>
            </w:pPr>
            <w:r>
              <w:rPr>
                <w:b/>
                <w:bCs/>
                <w:sz w:val="16"/>
                <w:szCs w:val="16"/>
              </w:rPr>
              <w:t xml:space="preserve">Fecha de entrega </w:t>
            </w:r>
          </w:p>
        </w:tc>
      </w:tr>
      <w:tr>
        <w:trPr>
          <w:jc w:val="center"/>
        </w:trPr>
        <w:tc>
          <w:tcPr>
            <w:tcW w:w="1242" w:type="dxa"/>
            <w:vMerge/>
            <w:tcBorders>
              <w:left w:val="double" w:sz="4" w:space="0" w:color="auto"/>
              <w:bottom w:val="single" w:sz="4" w:space="0" w:color="auto"/>
              <w:right w:val="single" w:sz="4" w:space="0" w:color="auto"/>
            </w:tcBorders>
          </w:tcPr>
          <w:p>
            <w:pPr>
              <w:suppressAutoHyphens/>
              <w:jc w:val="center"/>
              <w:rPr>
                <w:sz w:val="16"/>
                <w:szCs w:val="16"/>
              </w:rPr>
            </w:pPr>
          </w:p>
        </w:tc>
        <w:tc>
          <w:tcPr>
            <w:tcW w:w="1985" w:type="dxa"/>
            <w:vMerge/>
            <w:tcBorders>
              <w:left w:val="single" w:sz="4" w:space="0" w:color="auto"/>
              <w:bottom w:val="single" w:sz="4" w:space="0" w:color="auto"/>
              <w:right w:val="single" w:sz="4" w:space="0" w:color="auto"/>
            </w:tcBorders>
          </w:tcPr>
          <w:p>
            <w:pPr>
              <w:suppressAutoHyphens/>
              <w:jc w:val="center"/>
              <w:rPr>
                <w:sz w:val="16"/>
                <w:szCs w:val="16"/>
              </w:rPr>
            </w:pPr>
          </w:p>
        </w:tc>
        <w:tc>
          <w:tcPr>
            <w:tcW w:w="1417" w:type="dxa"/>
            <w:vMerge/>
            <w:tcBorders>
              <w:left w:val="single" w:sz="4" w:space="0" w:color="auto"/>
              <w:bottom w:val="single" w:sz="4" w:space="0" w:color="auto"/>
              <w:right w:val="single" w:sz="4" w:space="0" w:color="auto"/>
            </w:tcBorders>
          </w:tcPr>
          <w:p>
            <w:pPr>
              <w:suppressAutoHyphens/>
              <w:jc w:val="center"/>
              <w:rPr>
                <w:sz w:val="16"/>
                <w:szCs w:val="16"/>
              </w:rPr>
            </w:pPr>
          </w:p>
        </w:tc>
        <w:tc>
          <w:tcPr>
            <w:tcW w:w="1134" w:type="dxa"/>
            <w:vMerge/>
            <w:tcBorders>
              <w:left w:val="single" w:sz="4" w:space="0" w:color="auto"/>
              <w:bottom w:val="single" w:sz="4" w:space="0" w:color="auto"/>
              <w:right w:val="single" w:sz="4" w:space="0" w:color="auto"/>
            </w:tcBorders>
          </w:tcPr>
          <w:p>
            <w:pPr>
              <w:suppressAutoHyphens/>
              <w:jc w:val="center"/>
              <w:rPr>
                <w:sz w:val="16"/>
                <w:szCs w:val="16"/>
              </w:rPr>
            </w:pPr>
          </w:p>
        </w:tc>
        <w:tc>
          <w:tcPr>
            <w:tcW w:w="1490" w:type="dxa"/>
            <w:vMerge/>
            <w:tcBorders>
              <w:left w:val="single" w:sz="4" w:space="0" w:color="auto"/>
              <w:bottom w:val="single" w:sz="4" w:space="0" w:color="auto"/>
              <w:right w:val="single" w:sz="4" w:space="0" w:color="auto"/>
            </w:tcBorders>
          </w:tcPr>
          <w:p>
            <w:pPr>
              <w:jc w:val="center"/>
              <w:rPr>
                <w:sz w:val="16"/>
                <w:szCs w:val="16"/>
              </w:rPr>
            </w:pPr>
          </w:p>
        </w:tc>
        <w:tc>
          <w:tcPr>
            <w:tcW w:w="1724" w:type="dxa"/>
            <w:tcBorders>
              <w:top w:val="single" w:sz="4" w:space="0" w:color="auto"/>
              <w:left w:val="single" w:sz="4" w:space="0" w:color="auto"/>
              <w:right w:val="single" w:sz="4" w:space="0" w:color="auto"/>
            </w:tcBorders>
          </w:tcPr>
          <w:p>
            <w:pPr>
              <w:spacing w:before="60" w:after="60"/>
              <w:jc w:val="center"/>
              <w:rPr>
                <w:b/>
                <w:bCs/>
                <w:sz w:val="16"/>
                <w:szCs w:val="16"/>
              </w:rPr>
            </w:pPr>
            <w:r>
              <w:rPr>
                <w:b/>
                <w:bCs/>
                <w:sz w:val="16"/>
                <w:szCs w:val="16"/>
              </w:rPr>
              <w:t>Fecha más temprana de entrega</w:t>
            </w:r>
          </w:p>
          <w:p>
            <w:pPr>
              <w:spacing w:before="60" w:after="60"/>
              <w:jc w:val="center"/>
              <w:rPr>
                <w:b/>
                <w:bCs/>
                <w:sz w:val="16"/>
                <w:szCs w:val="16"/>
              </w:rPr>
            </w:pPr>
            <w:r>
              <w:rPr>
                <w:b/>
                <w:bCs/>
                <w:sz w:val="16"/>
                <w:szCs w:val="16"/>
              </w:rPr>
              <w:t>(inicio)</w:t>
            </w:r>
          </w:p>
        </w:tc>
        <w:tc>
          <w:tcPr>
            <w:tcW w:w="1798" w:type="dxa"/>
            <w:tcBorders>
              <w:top w:val="single" w:sz="4" w:space="0" w:color="auto"/>
              <w:left w:val="single" w:sz="4" w:space="0" w:color="auto"/>
              <w:right w:val="single" w:sz="4" w:space="0" w:color="auto"/>
            </w:tcBorders>
          </w:tcPr>
          <w:p>
            <w:pPr>
              <w:spacing w:before="60" w:after="60"/>
              <w:jc w:val="center"/>
              <w:rPr>
                <w:b/>
                <w:bCs/>
                <w:sz w:val="16"/>
                <w:szCs w:val="16"/>
              </w:rPr>
            </w:pPr>
            <w:r>
              <w:rPr>
                <w:b/>
                <w:bCs/>
                <w:sz w:val="16"/>
                <w:szCs w:val="16"/>
              </w:rPr>
              <w:t xml:space="preserve">Fecha límite de entrega </w:t>
            </w:r>
          </w:p>
          <w:p>
            <w:pPr>
              <w:spacing w:before="60" w:after="60"/>
              <w:jc w:val="center"/>
              <w:rPr>
                <w:b/>
                <w:bCs/>
                <w:sz w:val="16"/>
                <w:szCs w:val="16"/>
              </w:rPr>
            </w:pPr>
            <w:r>
              <w:rPr>
                <w:b/>
                <w:bCs/>
                <w:sz w:val="16"/>
                <w:szCs w:val="16"/>
              </w:rPr>
              <w:t>(finalización)</w:t>
            </w:r>
          </w:p>
        </w:tc>
        <w:tc>
          <w:tcPr>
            <w:tcW w:w="2098" w:type="dxa"/>
            <w:tcBorders>
              <w:top w:val="single" w:sz="4" w:space="0" w:color="auto"/>
              <w:left w:val="single" w:sz="4" w:space="0" w:color="auto"/>
              <w:bottom w:val="single" w:sz="4" w:space="0" w:color="auto"/>
              <w:right w:val="double" w:sz="4" w:space="0" w:color="auto"/>
            </w:tcBorders>
          </w:tcPr>
          <w:p>
            <w:pPr>
              <w:spacing w:before="60" w:after="60"/>
              <w:jc w:val="center"/>
              <w:rPr>
                <w:b/>
                <w:bCs/>
                <w:sz w:val="16"/>
                <w:szCs w:val="16"/>
              </w:rPr>
            </w:pPr>
            <w:r>
              <w:rPr>
                <w:b/>
                <w:bCs/>
                <w:sz w:val="16"/>
                <w:szCs w:val="16"/>
              </w:rPr>
              <w:t>Plazo de ejecución</w:t>
            </w: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i/>
                <w:iCs/>
                <w:sz w:val="16"/>
                <w:szCs w:val="16"/>
              </w:rPr>
            </w:pPr>
            <w:r>
              <w:rPr>
                <w:i/>
                <w:iCs/>
                <w:sz w:val="16"/>
                <w:szCs w:val="16"/>
              </w:rPr>
              <w:t>[Indique el n.</w:t>
            </w:r>
            <w:r>
              <w:rPr>
                <w:i/>
                <w:iCs/>
                <w:sz w:val="16"/>
                <w:szCs w:val="16"/>
                <w:vertAlign w:val="superscript"/>
              </w:rPr>
              <w:t xml:space="preserve">o </w:t>
            </w:r>
            <w:r>
              <w:rPr>
                <w:i/>
                <w:iCs/>
                <w:sz w:val="16"/>
                <w:szCs w:val="16"/>
              </w:rPr>
              <w:t>del artículo].</w:t>
            </w:r>
          </w:p>
        </w:tc>
        <w:tc>
          <w:tcPr>
            <w:tcW w:w="1985" w:type="dxa"/>
            <w:tcBorders>
              <w:top w:val="single" w:sz="4" w:space="0" w:color="auto"/>
              <w:left w:val="single" w:sz="4" w:space="0" w:color="auto"/>
              <w:bottom w:val="single" w:sz="4" w:space="0" w:color="auto"/>
              <w:right w:val="single" w:sz="4" w:space="0" w:color="auto"/>
            </w:tcBorders>
          </w:tcPr>
          <w:p>
            <w:pPr>
              <w:rPr>
                <w:i/>
                <w:iCs/>
                <w:sz w:val="16"/>
                <w:szCs w:val="16"/>
              </w:rPr>
            </w:pPr>
            <w:r>
              <w:rPr>
                <w:i/>
                <w:iCs/>
                <w:sz w:val="16"/>
                <w:szCs w:val="16"/>
              </w:rPr>
              <w:t>[Indique la descripción de los servicios diferentes de consultoría].</w:t>
            </w:r>
          </w:p>
        </w:tc>
        <w:tc>
          <w:tcPr>
            <w:tcW w:w="1417" w:type="dxa"/>
            <w:tcBorders>
              <w:top w:val="single" w:sz="4" w:space="0" w:color="auto"/>
              <w:left w:val="single" w:sz="4" w:space="0" w:color="auto"/>
              <w:bottom w:val="single" w:sz="4" w:space="0" w:color="auto"/>
              <w:right w:val="single" w:sz="4" w:space="0" w:color="auto"/>
            </w:tcBorders>
          </w:tcPr>
          <w:p>
            <w:pPr>
              <w:rPr>
                <w:i/>
                <w:iCs/>
                <w:sz w:val="16"/>
                <w:szCs w:val="16"/>
              </w:rPr>
            </w:pPr>
            <w:r>
              <w:rPr>
                <w:i/>
                <w:iCs/>
                <w:sz w:val="16"/>
                <w:szCs w:val="16"/>
              </w:rPr>
              <w:t>[Indique la cantidad de los servicios diferentes de consultoría].</w:t>
            </w:r>
          </w:p>
        </w:tc>
        <w:tc>
          <w:tcPr>
            <w:tcW w:w="1134" w:type="dxa"/>
            <w:tcBorders>
              <w:top w:val="single" w:sz="4" w:space="0" w:color="auto"/>
              <w:left w:val="single" w:sz="4" w:space="0" w:color="auto"/>
              <w:bottom w:val="single" w:sz="4" w:space="0" w:color="auto"/>
              <w:right w:val="single" w:sz="4" w:space="0" w:color="auto"/>
            </w:tcBorders>
          </w:tcPr>
          <w:p>
            <w:pPr>
              <w:rPr>
                <w:i/>
                <w:iCs/>
                <w:sz w:val="16"/>
                <w:szCs w:val="16"/>
              </w:rPr>
            </w:pPr>
            <w:r>
              <w:rPr>
                <w:i/>
                <w:iCs/>
                <w:sz w:val="16"/>
                <w:szCs w:val="16"/>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pPr>
              <w:rPr>
                <w:i/>
                <w:iCs/>
                <w:sz w:val="16"/>
                <w:szCs w:val="16"/>
              </w:rPr>
            </w:pPr>
            <w:r>
              <w:rPr>
                <w:i/>
                <w:iCs/>
                <w:sz w:val="16"/>
                <w:szCs w:val="16"/>
              </w:rPr>
              <w:t>[Indique el lugar de entrega].</w:t>
            </w:r>
          </w:p>
        </w:tc>
        <w:tc>
          <w:tcPr>
            <w:tcW w:w="1724" w:type="dxa"/>
            <w:tcBorders>
              <w:left w:val="single" w:sz="4" w:space="0" w:color="auto"/>
              <w:right w:val="single" w:sz="4" w:space="0" w:color="auto"/>
            </w:tcBorders>
          </w:tcPr>
          <w:p>
            <w:pPr>
              <w:rPr>
                <w:i/>
                <w:iCs/>
                <w:sz w:val="16"/>
                <w:szCs w:val="16"/>
              </w:rPr>
            </w:pPr>
            <w:r>
              <w:rPr>
                <w:i/>
                <w:iCs/>
                <w:sz w:val="16"/>
                <w:szCs w:val="16"/>
              </w:rPr>
              <w:t>[Indique el número de días después de la fecha de entrada en vigor del Contrato].</w:t>
            </w:r>
          </w:p>
        </w:tc>
        <w:tc>
          <w:tcPr>
            <w:tcW w:w="1798" w:type="dxa"/>
            <w:tcBorders>
              <w:left w:val="single" w:sz="4" w:space="0" w:color="auto"/>
              <w:right w:val="single" w:sz="4" w:space="0" w:color="auto"/>
            </w:tcBorders>
          </w:tcPr>
          <w:p>
            <w:pPr>
              <w:rPr>
                <w:i/>
                <w:iCs/>
                <w:sz w:val="16"/>
                <w:szCs w:val="16"/>
              </w:rPr>
            </w:pPr>
            <w:r>
              <w:rPr>
                <w:i/>
                <w:iCs/>
                <w:sz w:val="16"/>
                <w:szCs w:val="16"/>
              </w:rPr>
              <w:t>[Indique el número de días después de la fecha de entrada en vigor del Contrato].</w:t>
            </w:r>
          </w:p>
        </w:tc>
        <w:tc>
          <w:tcPr>
            <w:tcW w:w="2098" w:type="dxa"/>
            <w:tcBorders>
              <w:left w:val="single" w:sz="4" w:space="0" w:color="auto"/>
              <w:right w:val="double" w:sz="4" w:space="0" w:color="auto"/>
            </w:tcBorders>
          </w:tcPr>
          <w:p>
            <w:pPr>
              <w:rPr>
                <w:i/>
                <w:iCs/>
                <w:sz w:val="16"/>
                <w:szCs w:val="16"/>
              </w:rPr>
            </w:pPr>
            <w:r>
              <w:rPr>
                <w:i/>
                <w:iCs/>
                <w:sz w:val="16"/>
                <w:szCs w:val="16"/>
              </w:rPr>
              <w:t>[indicar el plazo ofertado para prestar el servicio]</w:t>
            </w: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sz w:val="16"/>
                <w:szCs w:val="16"/>
              </w:rPr>
            </w:pPr>
          </w:p>
        </w:tc>
        <w:tc>
          <w:tcPr>
            <w:tcW w:w="1724" w:type="dxa"/>
            <w:tcBorders>
              <w:left w:val="single" w:sz="4" w:space="0" w:color="auto"/>
              <w:right w:val="single" w:sz="4" w:space="0" w:color="auto"/>
            </w:tcBorders>
          </w:tcPr>
          <w:p>
            <w:pPr>
              <w:rPr>
                <w:sz w:val="16"/>
                <w:szCs w:val="16"/>
              </w:rPr>
            </w:pPr>
          </w:p>
        </w:tc>
        <w:tc>
          <w:tcPr>
            <w:tcW w:w="1798" w:type="dxa"/>
            <w:tcBorders>
              <w:left w:val="single" w:sz="4" w:space="0" w:color="auto"/>
              <w:right w:val="single" w:sz="4" w:space="0" w:color="auto"/>
            </w:tcBorders>
          </w:tcPr>
          <w:p>
            <w:pPr>
              <w:rPr>
                <w:sz w:val="16"/>
                <w:szCs w:val="16"/>
              </w:rPr>
            </w:pPr>
          </w:p>
        </w:tc>
        <w:tc>
          <w:tcPr>
            <w:tcW w:w="2098" w:type="dxa"/>
            <w:tcBorders>
              <w:left w:val="single" w:sz="4" w:space="0" w:color="auto"/>
              <w:right w:val="double" w:sz="4" w:space="0" w:color="auto"/>
            </w:tcBorders>
          </w:tcPr>
          <w:p>
            <w:pPr>
              <w:rPr>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sz w:val="16"/>
                <w:szCs w:val="16"/>
              </w:rPr>
            </w:pPr>
          </w:p>
        </w:tc>
        <w:tc>
          <w:tcPr>
            <w:tcW w:w="1724" w:type="dxa"/>
            <w:tcBorders>
              <w:left w:val="single" w:sz="4" w:space="0" w:color="auto"/>
              <w:right w:val="single" w:sz="4" w:space="0" w:color="auto"/>
            </w:tcBorders>
          </w:tcPr>
          <w:p>
            <w:pPr>
              <w:rPr>
                <w:sz w:val="16"/>
                <w:szCs w:val="16"/>
              </w:rPr>
            </w:pPr>
          </w:p>
        </w:tc>
        <w:tc>
          <w:tcPr>
            <w:tcW w:w="1798" w:type="dxa"/>
            <w:tcBorders>
              <w:left w:val="single" w:sz="4" w:space="0" w:color="auto"/>
              <w:right w:val="single" w:sz="4" w:space="0" w:color="auto"/>
            </w:tcBorders>
          </w:tcPr>
          <w:p>
            <w:pPr>
              <w:rPr>
                <w:sz w:val="16"/>
                <w:szCs w:val="16"/>
              </w:rPr>
            </w:pPr>
          </w:p>
        </w:tc>
        <w:tc>
          <w:tcPr>
            <w:tcW w:w="2098" w:type="dxa"/>
            <w:tcBorders>
              <w:left w:val="single" w:sz="4" w:space="0" w:color="auto"/>
              <w:right w:val="double" w:sz="4" w:space="0" w:color="auto"/>
            </w:tcBorders>
          </w:tcPr>
          <w:p>
            <w:pPr>
              <w:rPr>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sz w:val="16"/>
                <w:szCs w:val="16"/>
              </w:rPr>
            </w:pPr>
          </w:p>
        </w:tc>
        <w:tc>
          <w:tcPr>
            <w:tcW w:w="1724" w:type="dxa"/>
            <w:tcBorders>
              <w:left w:val="single" w:sz="4" w:space="0" w:color="auto"/>
              <w:right w:val="single" w:sz="4" w:space="0" w:color="auto"/>
            </w:tcBorders>
          </w:tcPr>
          <w:p>
            <w:pPr>
              <w:rPr>
                <w:sz w:val="16"/>
                <w:szCs w:val="16"/>
              </w:rPr>
            </w:pPr>
          </w:p>
        </w:tc>
        <w:tc>
          <w:tcPr>
            <w:tcW w:w="1798" w:type="dxa"/>
            <w:tcBorders>
              <w:left w:val="single" w:sz="4" w:space="0" w:color="auto"/>
              <w:right w:val="single" w:sz="4" w:space="0" w:color="auto"/>
            </w:tcBorders>
          </w:tcPr>
          <w:p>
            <w:pPr>
              <w:rPr>
                <w:sz w:val="16"/>
                <w:szCs w:val="16"/>
              </w:rPr>
            </w:pPr>
          </w:p>
        </w:tc>
        <w:tc>
          <w:tcPr>
            <w:tcW w:w="2098" w:type="dxa"/>
            <w:tcBorders>
              <w:left w:val="single" w:sz="4" w:space="0" w:color="auto"/>
              <w:right w:val="double" w:sz="4" w:space="0" w:color="auto"/>
            </w:tcBorders>
          </w:tcPr>
          <w:p>
            <w:pPr>
              <w:rPr>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sz w:val="16"/>
                <w:szCs w:val="16"/>
              </w:rPr>
            </w:pPr>
          </w:p>
        </w:tc>
        <w:tc>
          <w:tcPr>
            <w:tcW w:w="1724" w:type="dxa"/>
            <w:tcBorders>
              <w:left w:val="single" w:sz="4" w:space="0" w:color="auto"/>
              <w:bottom w:val="single" w:sz="4" w:space="0" w:color="auto"/>
              <w:right w:val="single" w:sz="4" w:space="0" w:color="auto"/>
            </w:tcBorders>
          </w:tcPr>
          <w:p>
            <w:pPr>
              <w:rPr>
                <w:sz w:val="16"/>
                <w:szCs w:val="16"/>
              </w:rPr>
            </w:pPr>
          </w:p>
        </w:tc>
        <w:tc>
          <w:tcPr>
            <w:tcW w:w="1798" w:type="dxa"/>
            <w:tcBorders>
              <w:left w:val="single" w:sz="4" w:space="0" w:color="auto"/>
              <w:bottom w:val="single" w:sz="4" w:space="0" w:color="auto"/>
              <w:right w:val="single" w:sz="4" w:space="0" w:color="auto"/>
            </w:tcBorders>
          </w:tcPr>
          <w:p>
            <w:pPr>
              <w:rPr>
                <w:sz w:val="16"/>
                <w:szCs w:val="16"/>
              </w:rPr>
            </w:pPr>
          </w:p>
        </w:tc>
        <w:tc>
          <w:tcPr>
            <w:tcW w:w="2098" w:type="dxa"/>
            <w:tcBorders>
              <w:left w:val="single" w:sz="4" w:space="0" w:color="auto"/>
              <w:bottom w:val="single" w:sz="4" w:space="0" w:color="auto"/>
              <w:right w:val="double" w:sz="4" w:space="0" w:color="auto"/>
            </w:tcBorders>
          </w:tcPr>
          <w:p>
            <w:pPr>
              <w:rPr>
                <w:sz w:val="16"/>
                <w:szCs w:val="16"/>
              </w:rPr>
            </w:pPr>
          </w:p>
        </w:tc>
      </w:tr>
      <w:tr>
        <w:trPr>
          <w:jc w:val="center"/>
        </w:trPr>
        <w:tc>
          <w:tcPr>
            <w:tcW w:w="1242" w:type="dxa"/>
            <w:tcBorders>
              <w:top w:val="single" w:sz="4" w:space="0" w:color="auto"/>
              <w:left w:val="double" w:sz="4" w:space="0" w:color="auto"/>
              <w:bottom w:val="double" w:sz="4" w:space="0" w:color="auto"/>
              <w:right w:val="single" w:sz="4" w:space="0" w:color="auto"/>
            </w:tcBorders>
          </w:tcPr>
          <w:p>
            <w:pPr>
              <w:rPr>
                <w:sz w:val="16"/>
                <w:szCs w:val="16"/>
              </w:rPr>
            </w:pPr>
          </w:p>
        </w:tc>
        <w:tc>
          <w:tcPr>
            <w:tcW w:w="1985" w:type="dxa"/>
            <w:tcBorders>
              <w:top w:val="single" w:sz="4" w:space="0" w:color="auto"/>
              <w:left w:val="single" w:sz="4" w:space="0" w:color="auto"/>
              <w:bottom w:val="double" w:sz="4" w:space="0" w:color="auto"/>
              <w:right w:val="single" w:sz="4" w:space="0" w:color="auto"/>
            </w:tcBorders>
          </w:tcPr>
          <w:p>
            <w:pPr>
              <w:rPr>
                <w:sz w:val="16"/>
                <w:szCs w:val="16"/>
              </w:rPr>
            </w:pPr>
          </w:p>
        </w:tc>
        <w:tc>
          <w:tcPr>
            <w:tcW w:w="1417" w:type="dxa"/>
            <w:tcBorders>
              <w:top w:val="single" w:sz="4" w:space="0" w:color="auto"/>
              <w:left w:val="single" w:sz="4" w:space="0" w:color="auto"/>
              <w:bottom w:val="double" w:sz="4" w:space="0" w:color="auto"/>
              <w:right w:val="single" w:sz="4" w:space="0" w:color="auto"/>
            </w:tcBorders>
          </w:tcPr>
          <w:p>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pPr>
              <w:rPr>
                <w:sz w:val="16"/>
                <w:szCs w:val="16"/>
              </w:rPr>
            </w:pPr>
          </w:p>
        </w:tc>
        <w:tc>
          <w:tcPr>
            <w:tcW w:w="1490" w:type="dxa"/>
            <w:tcBorders>
              <w:top w:val="single" w:sz="4" w:space="0" w:color="auto"/>
              <w:left w:val="single" w:sz="4" w:space="0" w:color="auto"/>
              <w:bottom w:val="double" w:sz="4" w:space="0" w:color="auto"/>
              <w:right w:val="single" w:sz="4" w:space="0" w:color="auto"/>
            </w:tcBorders>
          </w:tcPr>
          <w:p>
            <w:pPr>
              <w:rPr>
                <w:sz w:val="16"/>
                <w:szCs w:val="16"/>
              </w:rPr>
            </w:pPr>
          </w:p>
        </w:tc>
        <w:tc>
          <w:tcPr>
            <w:tcW w:w="1724" w:type="dxa"/>
            <w:tcBorders>
              <w:left w:val="single" w:sz="4" w:space="0" w:color="auto"/>
              <w:bottom w:val="double" w:sz="4" w:space="0" w:color="auto"/>
              <w:right w:val="single" w:sz="4" w:space="0" w:color="auto"/>
            </w:tcBorders>
          </w:tcPr>
          <w:p>
            <w:pPr>
              <w:rPr>
                <w:sz w:val="16"/>
                <w:szCs w:val="16"/>
              </w:rPr>
            </w:pPr>
          </w:p>
        </w:tc>
        <w:tc>
          <w:tcPr>
            <w:tcW w:w="1798" w:type="dxa"/>
            <w:tcBorders>
              <w:left w:val="single" w:sz="4" w:space="0" w:color="auto"/>
              <w:bottom w:val="double" w:sz="4" w:space="0" w:color="auto"/>
              <w:right w:val="single" w:sz="4" w:space="0" w:color="auto"/>
            </w:tcBorders>
          </w:tcPr>
          <w:p>
            <w:pPr>
              <w:rPr>
                <w:sz w:val="16"/>
                <w:szCs w:val="16"/>
              </w:rPr>
            </w:pPr>
          </w:p>
        </w:tc>
        <w:tc>
          <w:tcPr>
            <w:tcW w:w="2098" w:type="dxa"/>
            <w:tcBorders>
              <w:left w:val="single" w:sz="4" w:space="0" w:color="auto"/>
              <w:bottom w:val="double" w:sz="4" w:space="0" w:color="auto"/>
              <w:right w:val="double" w:sz="4" w:space="0" w:color="auto"/>
            </w:tcBorders>
          </w:tcPr>
          <w:p>
            <w:pPr>
              <w:rPr>
                <w:sz w:val="16"/>
                <w:szCs w:val="16"/>
              </w:rPr>
            </w:pPr>
          </w:p>
        </w:tc>
      </w:tr>
    </w:tbl>
    <w:p/>
    <w:p>
      <w:pPr>
        <w:pStyle w:val="Sangra3detindependiente"/>
        <w:spacing w:after="200"/>
        <w:ind w:left="-709" w:firstLine="0"/>
        <w:jc w:val="both"/>
        <w:rPr>
          <w:rFonts w:ascii="Times New Roman" w:hAnsi="Times New Roman" w:cs="Times New Roman"/>
        </w:rPr>
      </w:pPr>
    </w:p>
    <w:p>
      <w:pPr>
        <w:tabs>
          <w:tab w:val="center" w:pos="4333"/>
        </w:tabs>
        <w:rPr>
          <w:lang w:val="es-ES"/>
        </w:rPr>
        <w:sectPr>
          <w:headerReference w:type="even" r:id="rId37"/>
          <w:headerReference w:type="default" r:id="rId38"/>
          <w:headerReference w:type="first" r:id="rId39"/>
          <w:pgSz w:w="16838" w:h="11906" w:orient="landscape" w:code="9"/>
          <w:pgMar w:top="1797" w:right="1440" w:bottom="1440" w:left="1440" w:header="720" w:footer="720" w:gutter="0"/>
          <w:paperSrc w:first="261" w:other="261"/>
          <w:cols w:space="720"/>
        </w:sectPr>
      </w:pPr>
    </w:p>
    <w:p>
      <w:pPr>
        <w:pStyle w:val="Formularios"/>
        <w:rPr>
          <w:rFonts w:ascii="Times New Roman" w:hAnsi="Times New Roman" w:cs="Times New Roman"/>
        </w:rPr>
      </w:pPr>
      <w:bookmarkStart w:id="701" w:name="_Toc454620982"/>
      <w:bookmarkStart w:id="702" w:name="_Toc347230626"/>
      <w:bookmarkStart w:id="703" w:name="_Toc463858680"/>
      <w:bookmarkStart w:id="704" w:name="_Toc486939192"/>
      <w:bookmarkStart w:id="705" w:name="_Toc175250625"/>
      <w:r>
        <w:rPr>
          <w:rFonts w:ascii="Times New Roman" w:hAnsi="Times New Roman" w:cs="Times New Roman"/>
        </w:rPr>
        <w:lastRenderedPageBreak/>
        <w:t>Formulario de Garantía de Mantenimiento de Oferta</w:t>
      </w:r>
      <w:bookmarkEnd w:id="701"/>
      <w:bookmarkEnd w:id="702"/>
      <w:bookmarkEnd w:id="703"/>
      <w:bookmarkEnd w:id="704"/>
      <w:bookmarkEnd w:id="705"/>
    </w:p>
    <w:p>
      <w:pPr>
        <w:jc w:val="center"/>
        <w:rPr>
          <w:b/>
          <w:sz w:val="22"/>
          <w:szCs w:val="22"/>
          <w:lang w:val="es-ES"/>
        </w:rPr>
      </w:pPr>
      <w:r>
        <w:rPr>
          <w:b/>
          <w:bCs/>
          <w:sz w:val="22"/>
          <w:szCs w:val="22"/>
          <w:lang w:val="es-ES"/>
        </w:rPr>
        <w:t>(Garantía bancaria) NO APLICA</w:t>
      </w:r>
    </w:p>
    <w:p>
      <w:pPr>
        <w:jc w:val="center"/>
        <w:rPr>
          <w:sz w:val="22"/>
          <w:szCs w:val="22"/>
          <w:lang w:val="es-ES"/>
        </w:rPr>
      </w:pPr>
    </w:p>
    <w:p>
      <w:pPr>
        <w:rPr>
          <w:i/>
          <w:iCs/>
          <w:sz w:val="22"/>
          <w:szCs w:val="22"/>
          <w:lang w:val="es-ES"/>
        </w:rPr>
      </w:pPr>
      <w:r>
        <w:rPr>
          <w:i/>
          <w:iCs/>
          <w:sz w:val="22"/>
          <w:szCs w:val="22"/>
          <w:lang w:val="es-ES"/>
        </w:rPr>
        <w:t>[El banco completará este formulario de garantía bancaria según las instrucciones indicadas].</w:t>
      </w:r>
    </w:p>
    <w:p>
      <w:pPr>
        <w:pStyle w:val="NormalWeb"/>
        <w:rPr>
          <w:rFonts w:ascii="Times New Roman" w:hAnsi="Times New Roman"/>
          <w:i/>
          <w:iCs/>
          <w:sz w:val="22"/>
          <w:szCs w:val="22"/>
          <w:lang w:val="es-ES"/>
        </w:rPr>
      </w:pPr>
      <w:r>
        <w:rPr>
          <w:rFonts w:ascii="Times New Roman" w:hAnsi="Times New Roman"/>
          <w:i/>
          <w:iCs/>
          <w:sz w:val="22"/>
          <w:szCs w:val="22"/>
          <w:lang w:val="es-ES"/>
        </w:rPr>
        <w:t>[Membrete del Garante o código de identificación SWIFT].</w:t>
      </w:r>
    </w:p>
    <w:p>
      <w:pPr>
        <w:pStyle w:val="NormalWeb"/>
        <w:rPr>
          <w:rFonts w:ascii="Times New Roman" w:hAnsi="Times New Roman"/>
          <w:sz w:val="22"/>
          <w:szCs w:val="22"/>
          <w:lang w:val="es-ES"/>
        </w:rPr>
      </w:pPr>
      <w:r>
        <w:rPr>
          <w:rFonts w:ascii="Times New Roman" w:hAnsi="Times New Roman"/>
          <w:b/>
          <w:bCs/>
          <w:sz w:val="22"/>
          <w:szCs w:val="22"/>
          <w:lang w:val="es-ES"/>
        </w:rPr>
        <w:t xml:space="preserve">Beneficiario: </w:t>
      </w:r>
      <w:r>
        <w:rPr>
          <w:rFonts w:ascii="Times New Roman" w:hAnsi="Times New Roman"/>
          <w:i/>
          <w:iCs/>
          <w:sz w:val="22"/>
          <w:szCs w:val="22"/>
          <w:lang w:val="es-ES"/>
        </w:rPr>
        <w:t>[Indique el nombre y la dirección del Comprador].</w:t>
      </w:r>
    </w:p>
    <w:p>
      <w:pPr>
        <w:pStyle w:val="NormalWeb"/>
        <w:rPr>
          <w:rFonts w:ascii="Times New Roman" w:hAnsi="Times New Roman"/>
          <w:i/>
          <w:iCs/>
          <w:sz w:val="22"/>
          <w:szCs w:val="22"/>
          <w:lang w:val="es-ES"/>
        </w:rPr>
      </w:pPr>
      <w:r>
        <w:rPr>
          <w:rFonts w:ascii="Times New Roman" w:hAnsi="Times New Roman"/>
          <w:b/>
          <w:bCs/>
          <w:sz w:val="22"/>
          <w:szCs w:val="22"/>
          <w:lang w:val="es-ES"/>
        </w:rPr>
        <w:t>SDO n.</w:t>
      </w:r>
      <w:r>
        <w:rPr>
          <w:rFonts w:ascii="Times New Roman" w:hAnsi="Times New Roman"/>
          <w:b/>
          <w:bCs/>
          <w:sz w:val="22"/>
          <w:szCs w:val="22"/>
          <w:lang w:val="es-ES"/>
        </w:rPr>
        <w:sym w:font="Symbol" w:char="F0B0"/>
      </w:r>
      <w:r>
        <w:rPr>
          <w:rFonts w:ascii="Times New Roman" w:hAnsi="Times New Roman"/>
          <w:b/>
          <w:bCs/>
          <w:sz w:val="22"/>
          <w:szCs w:val="22"/>
          <w:lang w:val="es-ES"/>
        </w:rPr>
        <w:t xml:space="preserve">: </w:t>
      </w:r>
      <w:r>
        <w:rPr>
          <w:rFonts w:ascii="Times New Roman" w:hAnsi="Times New Roman"/>
          <w:i/>
          <w:iCs/>
          <w:sz w:val="22"/>
          <w:szCs w:val="22"/>
          <w:lang w:val="es-ES"/>
        </w:rPr>
        <w:t>[Indique número de referencia del Comprador para el llamado a licitación].</w:t>
      </w:r>
    </w:p>
    <w:p>
      <w:pPr>
        <w:pStyle w:val="NormalWeb"/>
        <w:rPr>
          <w:rFonts w:ascii="Times New Roman" w:hAnsi="Times New Roman"/>
          <w:i/>
          <w:iCs/>
          <w:sz w:val="22"/>
          <w:szCs w:val="22"/>
          <w:lang w:val="es-ES"/>
        </w:rPr>
      </w:pPr>
      <w:r>
        <w:rPr>
          <w:rFonts w:ascii="Times New Roman" w:hAnsi="Times New Roman"/>
          <w:b/>
          <w:bCs/>
          <w:sz w:val="22"/>
          <w:szCs w:val="22"/>
          <w:lang w:val="es-ES"/>
        </w:rPr>
        <w:t>Alternativa n.</w:t>
      </w:r>
      <w:r>
        <w:rPr>
          <w:rFonts w:ascii="Times New Roman" w:hAnsi="Times New Roman"/>
          <w:b/>
          <w:bCs/>
          <w:sz w:val="22"/>
          <w:szCs w:val="22"/>
          <w:lang w:val="es-ES"/>
        </w:rPr>
        <w:sym w:font="Symbol" w:char="F0B0"/>
      </w:r>
      <w:r>
        <w:rPr>
          <w:rFonts w:ascii="Times New Roman" w:hAnsi="Times New Roman"/>
          <w:b/>
          <w:bCs/>
          <w:sz w:val="22"/>
          <w:szCs w:val="22"/>
          <w:lang w:val="es-ES"/>
        </w:rPr>
        <w:t xml:space="preserve">: </w:t>
      </w:r>
      <w:r>
        <w:rPr>
          <w:rFonts w:ascii="Times New Roman" w:hAnsi="Times New Roman"/>
          <w:i/>
          <w:iCs/>
          <w:sz w:val="22"/>
          <w:szCs w:val="22"/>
          <w:lang w:val="es-ES"/>
        </w:rPr>
        <w:t>[Indique el número de identificación si esta es una oferta alternativa].</w:t>
      </w:r>
    </w:p>
    <w:p>
      <w:pPr>
        <w:pStyle w:val="NormalWeb"/>
        <w:rPr>
          <w:rFonts w:ascii="Times New Roman" w:hAnsi="Times New Roman"/>
          <w:sz w:val="22"/>
          <w:szCs w:val="22"/>
          <w:lang w:val="es-ES"/>
        </w:rPr>
      </w:pPr>
      <w:r>
        <w:rPr>
          <w:rFonts w:ascii="Times New Roman" w:hAnsi="Times New Roman"/>
          <w:b/>
          <w:bCs/>
          <w:sz w:val="22"/>
          <w:szCs w:val="22"/>
          <w:lang w:val="es-ES"/>
        </w:rPr>
        <w:t>Fecha:</w:t>
      </w:r>
      <w:r>
        <w:rPr>
          <w:rFonts w:ascii="Times New Roman" w:hAnsi="Times New Roman"/>
          <w:i/>
          <w:iCs/>
          <w:sz w:val="22"/>
          <w:szCs w:val="22"/>
          <w:lang w:val="es-ES"/>
        </w:rPr>
        <w:t xml:space="preserve"> [Indique la fecha].</w:t>
      </w:r>
    </w:p>
    <w:p>
      <w:pPr>
        <w:pStyle w:val="NormalWeb"/>
        <w:rPr>
          <w:rFonts w:ascii="Times New Roman" w:hAnsi="Times New Roman"/>
          <w:i/>
          <w:iCs/>
          <w:sz w:val="22"/>
          <w:szCs w:val="22"/>
          <w:lang w:val="es-ES"/>
        </w:rPr>
      </w:pPr>
      <w:r>
        <w:rPr>
          <w:rFonts w:ascii="Times New Roman" w:hAnsi="Times New Roman"/>
          <w:b/>
          <w:bCs/>
          <w:sz w:val="22"/>
          <w:szCs w:val="22"/>
          <w:lang w:val="es-ES"/>
        </w:rPr>
        <w:t>GARANTÍA DE MANTENIMIENTO DE OFERTA N.</w:t>
      </w:r>
      <w:r>
        <w:rPr>
          <w:rFonts w:ascii="Times New Roman" w:hAnsi="Times New Roman"/>
          <w:b/>
          <w:bCs/>
          <w:sz w:val="22"/>
          <w:szCs w:val="22"/>
          <w:lang w:val="es-ES"/>
        </w:rPr>
        <w:sym w:font="Symbol" w:char="F0B0"/>
      </w:r>
      <w:r>
        <w:rPr>
          <w:rFonts w:ascii="Times New Roman" w:hAnsi="Times New Roman"/>
          <w:b/>
          <w:bCs/>
          <w:sz w:val="22"/>
          <w:szCs w:val="22"/>
          <w:lang w:val="es-ES"/>
        </w:rPr>
        <w:t>:</w:t>
      </w:r>
      <w:r>
        <w:rPr>
          <w:rFonts w:ascii="Times New Roman" w:hAnsi="Times New Roman"/>
          <w:i/>
          <w:iCs/>
          <w:sz w:val="22"/>
          <w:szCs w:val="22"/>
          <w:lang w:val="es-ES"/>
        </w:rPr>
        <w:t xml:space="preserve"> [Indique el número de referencia de la Garantía].</w:t>
      </w:r>
    </w:p>
    <w:p>
      <w:pPr>
        <w:pStyle w:val="NormalWeb"/>
        <w:jc w:val="both"/>
        <w:rPr>
          <w:rFonts w:ascii="Times New Roman" w:hAnsi="Times New Roman"/>
          <w:i/>
          <w:iCs/>
          <w:sz w:val="22"/>
          <w:szCs w:val="22"/>
          <w:lang w:val="es-ES"/>
        </w:rPr>
      </w:pPr>
      <w:r>
        <w:rPr>
          <w:rFonts w:ascii="Times New Roman" w:hAnsi="Times New Roman"/>
          <w:b/>
          <w:bCs/>
          <w:sz w:val="22"/>
          <w:szCs w:val="22"/>
          <w:lang w:val="es-ES"/>
        </w:rPr>
        <w:t xml:space="preserve">Garante: </w:t>
      </w:r>
      <w:r>
        <w:rPr>
          <w:rFonts w:ascii="Times New Roman" w:hAnsi="Times New Roman"/>
          <w:i/>
          <w:iCs/>
          <w:sz w:val="22"/>
          <w:szCs w:val="22"/>
          <w:lang w:val="es-ES"/>
        </w:rPr>
        <w:t>[Indique el nombre y la dirección del emisor de la garantía, a menos que esté indicado en el membrete].</w:t>
      </w:r>
    </w:p>
    <w:p>
      <w:pPr>
        <w:pStyle w:val="NormalWeb"/>
        <w:jc w:val="both"/>
        <w:rPr>
          <w:rFonts w:ascii="Times New Roman" w:hAnsi="Times New Roman"/>
          <w:sz w:val="22"/>
          <w:szCs w:val="22"/>
          <w:lang w:val="es-ES"/>
        </w:rPr>
      </w:pPr>
      <w:r>
        <w:rPr>
          <w:rFonts w:ascii="Times New Roman" w:hAnsi="Times New Roman"/>
          <w:sz w:val="22"/>
          <w:szCs w:val="22"/>
          <w:lang w:val="es-ES"/>
        </w:rPr>
        <w:t xml:space="preserve">Se nos ha informado que ______ </w:t>
      </w:r>
      <w:r>
        <w:rPr>
          <w:rFonts w:ascii="Times New Roman" w:hAnsi="Times New Roman"/>
          <w:i/>
          <w:iCs/>
          <w:sz w:val="22"/>
          <w:szCs w:val="22"/>
          <w:lang w:val="es-ES"/>
        </w:rPr>
        <w:t xml:space="preserve">[indique el nombre del Oferente; en el caso de que se trate de una APCA, será el nombre de esta (legalmente constituida o en proceso de constitución) o los nombres de todos sus miembros, en su defecto] </w:t>
      </w:r>
      <w:r>
        <w:rPr>
          <w:rFonts w:ascii="Times New Roman" w:hAnsi="Times New Roman"/>
          <w:sz w:val="22"/>
          <w:szCs w:val="22"/>
          <w:lang w:val="es-ES"/>
        </w:rPr>
        <w:t xml:space="preserve">(en adelante, el “Solicitante”) ha presentado o presentará al Beneficiario su oferta el </w:t>
      </w:r>
      <w:r>
        <w:rPr>
          <w:rFonts w:ascii="Times New Roman" w:hAnsi="Times New Roman"/>
          <w:i/>
          <w:iCs/>
          <w:sz w:val="22"/>
          <w:szCs w:val="22"/>
          <w:lang w:val="es-ES"/>
        </w:rPr>
        <w:t>[indique la fecha de presentación de la Oferta]</w:t>
      </w:r>
      <w:r>
        <w:rPr>
          <w:rFonts w:ascii="Times New Roman" w:hAnsi="Times New Roman"/>
          <w:sz w:val="22"/>
          <w:szCs w:val="22"/>
          <w:lang w:val="es-ES"/>
        </w:rPr>
        <w:t xml:space="preserve"> (en adelante, la “Oferta”) para la celebración de </w:t>
      </w:r>
      <w:r>
        <w:rPr>
          <w:rFonts w:ascii="Times New Roman" w:hAnsi="Times New Roman"/>
          <w:i/>
          <w:iCs/>
          <w:sz w:val="22"/>
          <w:szCs w:val="22"/>
          <w:lang w:val="es-ES"/>
        </w:rPr>
        <w:t xml:space="preserve">[indique el nombre del Contrato] </w:t>
      </w:r>
      <w:r>
        <w:rPr>
          <w:rFonts w:ascii="Times New Roman" w:hAnsi="Times New Roman"/>
          <w:sz w:val="22"/>
          <w:szCs w:val="22"/>
          <w:lang w:val="es-ES"/>
        </w:rPr>
        <w:t>en virtud de la Solicitud de Ofertas n.</w:t>
      </w:r>
      <w:r>
        <w:rPr>
          <w:rFonts w:ascii="Times New Roman" w:hAnsi="Times New Roman"/>
          <w:bCs/>
          <w:sz w:val="22"/>
          <w:szCs w:val="22"/>
          <w:lang w:val="es-ES"/>
        </w:rPr>
        <w:sym w:font="Symbol" w:char="F0B0"/>
      </w:r>
      <w:r>
        <w:rPr>
          <w:rFonts w:ascii="Times New Roman" w:hAnsi="Times New Roman"/>
          <w:sz w:val="22"/>
          <w:szCs w:val="22"/>
          <w:lang w:val="es-ES"/>
        </w:rPr>
        <w:t xml:space="preserve"> _____________ (“la SDO”). </w:t>
      </w:r>
    </w:p>
    <w:p>
      <w:pPr>
        <w:pStyle w:val="NormalWeb"/>
        <w:jc w:val="both"/>
        <w:rPr>
          <w:rFonts w:ascii="Times New Roman" w:hAnsi="Times New Roman"/>
          <w:sz w:val="22"/>
          <w:szCs w:val="22"/>
          <w:lang w:val="es-ES"/>
        </w:rPr>
      </w:pPr>
      <w:r>
        <w:rPr>
          <w:rFonts w:ascii="Times New Roman" w:hAnsi="Times New Roman"/>
          <w:sz w:val="22"/>
          <w:szCs w:val="22"/>
          <w:lang w:val="es-ES"/>
        </w:rPr>
        <w:t>Asimismo, entendemos que, de acuerdo con sus condiciones, una garantía de mantenimiento deberá respaldar dicha Oferta.</w:t>
      </w:r>
    </w:p>
    <w:p>
      <w:pPr>
        <w:pStyle w:val="NormalWeb"/>
        <w:jc w:val="both"/>
        <w:rPr>
          <w:rFonts w:ascii="Times New Roman" w:hAnsi="Times New Roman"/>
          <w:sz w:val="22"/>
          <w:szCs w:val="22"/>
          <w:lang w:val="es-ES"/>
        </w:rPr>
      </w:pPr>
      <w:r>
        <w:rPr>
          <w:rFonts w:ascii="Times New Roman" w:hAnsi="Times New Roman"/>
          <w:sz w:val="22"/>
          <w:szCs w:val="22"/>
          <w:lang w:val="es-E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pPr>
        <w:pStyle w:val="NormalWeb"/>
        <w:numPr>
          <w:ilvl w:val="1"/>
          <w:numId w:val="93"/>
        </w:numPr>
        <w:tabs>
          <w:tab w:val="left" w:pos="540"/>
        </w:tabs>
        <w:spacing w:after="200" w:afterAutospacing="0"/>
        <w:ind w:left="539" w:hanging="539"/>
        <w:jc w:val="both"/>
        <w:rPr>
          <w:rFonts w:ascii="Times New Roman" w:hAnsi="Times New Roman"/>
          <w:sz w:val="22"/>
          <w:szCs w:val="22"/>
          <w:lang w:val="es-ES"/>
        </w:rPr>
      </w:pPr>
      <w:r>
        <w:rPr>
          <w:rFonts w:ascii="Times New Roman" w:hAnsi="Times New Roman"/>
          <w:sz w:val="22"/>
          <w:szCs w:val="22"/>
          <w:lang w:val="es-ES"/>
        </w:rPr>
        <w:t>ha retirado su Oferta durante el período de validez establecido en la Carta de la Oferta del Solicitante (el “período de validez de la Oferta”), o cualquier prórroga provista por el Solicitante, o</w:t>
      </w:r>
    </w:p>
    <w:p>
      <w:pPr>
        <w:pStyle w:val="NormalWeb"/>
        <w:numPr>
          <w:ilvl w:val="1"/>
          <w:numId w:val="93"/>
        </w:numPr>
        <w:tabs>
          <w:tab w:val="left" w:pos="540"/>
        </w:tabs>
        <w:ind w:left="539" w:hanging="539"/>
        <w:jc w:val="both"/>
        <w:rPr>
          <w:rFonts w:ascii="Times New Roman" w:hAnsi="Times New Roman"/>
          <w:sz w:val="22"/>
          <w:szCs w:val="22"/>
          <w:lang w:val="es-ES"/>
        </w:rPr>
      </w:pPr>
      <w:r>
        <w:rPr>
          <w:rFonts w:ascii="Times New Roman" w:hAnsi="Times New Roman"/>
          <w:sz w:val="22"/>
          <w:szCs w:val="22"/>
          <w:lang w:val="es-ES"/>
        </w:rPr>
        <w:t>después de haber sido notificado por el Beneficiario de la aceptación de su Oferta durante el período de validez de la Oferta o cualquier extensión provista por el Solicitante, (i) no ha firmado el Convenio Contractual, o (ii) no ha suministrado la Garantía de Cumplimiento de conformidad con las IAO del Documento de Licitación del Beneficiario.</w:t>
      </w:r>
    </w:p>
    <w:p>
      <w:pPr>
        <w:pStyle w:val="NormalWeb"/>
        <w:spacing w:before="0" w:after="0"/>
        <w:jc w:val="both"/>
        <w:rPr>
          <w:rFonts w:ascii="Times New Roman" w:hAnsi="Times New Roman"/>
          <w:sz w:val="22"/>
          <w:szCs w:val="22"/>
          <w:lang w:val="es-ES"/>
        </w:rPr>
      </w:pPr>
      <w:r>
        <w:rPr>
          <w:rFonts w:ascii="Times New Roman" w:hAnsi="Times New Roman"/>
          <w:sz w:val="22"/>
          <w:szCs w:val="22"/>
          <w:lang w:val="es-ES"/>
        </w:rPr>
        <w:t xml:space="preserve">Esta Garantía vencerá: (a) en el caso del Solicitante seleccionado, cuando recibamos en nuestras oficinas las copias del Convenio Contractual firmado por el Solicitante y de la Garantía de Cumplimiento emitida al Beneficiario en relación con dicho Convenio Contractual 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pPr>
        <w:pStyle w:val="NormalWeb"/>
        <w:spacing w:before="0" w:after="0"/>
        <w:jc w:val="both"/>
        <w:rPr>
          <w:rFonts w:ascii="Times New Roman" w:hAnsi="Times New Roman"/>
          <w:sz w:val="22"/>
          <w:szCs w:val="22"/>
          <w:lang w:val="es-ES"/>
        </w:rPr>
      </w:pPr>
      <w:r>
        <w:rPr>
          <w:rFonts w:ascii="Times New Roman" w:hAnsi="Times New Roman"/>
          <w:sz w:val="22"/>
          <w:szCs w:val="22"/>
          <w:lang w:val="es-ES"/>
        </w:rPr>
        <w:lastRenderedPageBreak/>
        <w:t>Consecuentemente, cualquier demanda de pago en virtud de esta Garantía deberá recibirse en la oficina antes mencionada a más tardar en esa fecha.</w:t>
      </w:r>
    </w:p>
    <w:p>
      <w:pPr>
        <w:pStyle w:val="NormalWeb"/>
        <w:spacing w:before="0" w:after="0"/>
        <w:jc w:val="both"/>
        <w:rPr>
          <w:rFonts w:ascii="Times New Roman" w:hAnsi="Times New Roman"/>
          <w:sz w:val="22"/>
          <w:szCs w:val="22"/>
          <w:lang w:val="es-ES"/>
        </w:rPr>
      </w:pPr>
      <w:r>
        <w:rPr>
          <w:rFonts w:ascii="Times New Roman" w:hAnsi="Times New Roman"/>
          <w:sz w:val="22"/>
          <w:szCs w:val="22"/>
          <w:lang w:val="es-ES"/>
        </w:rPr>
        <w:t>Esta Garantía está sujeta a las Reglas Uniformes de la Cámara de Comercio Internacional (CCI) relativas a las garantías contra primera solicitud, revisión de 2010, publicación n.</w:t>
      </w:r>
      <w:r>
        <w:rPr>
          <w:rFonts w:ascii="Times New Roman" w:hAnsi="Times New Roman"/>
          <w:sz w:val="22"/>
          <w:szCs w:val="22"/>
          <w:lang w:val="es-ES"/>
        </w:rPr>
        <w:sym w:font="Symbol" w:char="F0B0"/>
      </w:r>
      <w:r>
        <w:rPr>
          <w:rFonts w:ascii="Times New Roman" w:hAnsi="Times New Roman"/>
          <w:sz w:val="22"/>
          <w:szCs w:val="22"/>
          <w:vertAlign w:val="superscript"/>
          <w:lang w:val="es-ES"/>
        </w:rPr>
        <w:t> </w:t>
      </w:r>
      <w:r>
        <w:rPr>
          <w:rFonts w:ascii="Times New Roman" w:hAnsi="Times New Roman"/>
          <w:sz w:val="22"/>
          <w:szCs w:val="22"/>
          <w:lang w:val="es-ES"/>
        </w:rPr>
        <w:t>758 de la CCI.</w:t>
      </w:r>
    </w:p>
    <w:p>
      <w:pPr>
        <w:pStyle w:val="NormalWeb"/>
        <w:spacing w:before="0" w:after="0"/>
        <w:rPr>
          <w:rFonts w:ascii="Times New Roman" w:hAnsi="Times New Roman"/>
          <w:sz w:val="22"/>
          <w:szCs w:val="22"/>
          <w:lang w:val="es-ES"/>
        </w:rPr>
      </w:pPr>
    </w:p>
    <w:p>
      <w:pPr>
        <w:pStyle w:val="NormalWeb"/>
        <w:spacing w:before="0" w:after="0"/>
        <w:rPr>
          <w:rFonts w:ascii="Times New Roman" w:hAnsi="Times New Roman"/>
          <w:b/>
          <w:bCs/>
          <w:sz w:val="22"/>
          <w:szCs w:val="22"/>
          <w:lang w:val="es-ES"/>
        </w:rPr>
      </w:pPr>
      <w:r>
        <w:rPr>
          <w:rFonts w:ascii="Times New Roman" w:hAnsi="Times New Roman"/>
          <w:b/>
          <w:bCs/>
          <w:sz w:val="22"/>
          <w:szCs w:val="22"/>
          <w:lang w:val="es-ES"/>
        </w:rPr>
        <w:t>_____________________________</w:t>
      </w:r>
    </w:p>
    <w:p>
      <w:pPr>
        <w:pStyle w:val="NormalWeb"/>
        <w:spacing w:before="0" w:after="0"/>
        <w:rPr>
          <w:rFonts w:ascii="Times New Roman" w:hAnsi="Times New Roman"/>
          <w:i/>
          <w:iCs/>
          <w:sz w:val="22"/>
          <w:szCs w:val="22"/>
          <w:lang w:val="es-ES"/>
        </w:rPr>
      </w:pPr>
      <w:r>
        <w:rPr>
          <w:rFonts w:ascii="Times New Roman" w:hAnsi="Times New Roman"/>
          <w:i/>
          <w:iCs/>
          <w:sz w:val="22"/>
          <w:szCs w:val="22"/>
          <w:lang w:val="es-ES"/>
        </w:rPr>
        <w:t>[Firma(s)]</w:t>
      </w:r>
    </w:p>
    <w:p>
      <w:pPr>
        <w:pStyle w:val="NormalWeb"/>
        <w:spacing w:before="0" w:after="0"/>
        <w:rPr>
          <w:rFonts w:ascii="Times New Roman" w:hAnsi="Times New Roman"/>
          <w:i/>
          <w:iCs/>
          <w:sz w:val="22"/>
          <w:szCs w:val="22"/>
          <w:lang w:val="es-ES"/>
        </w:rPr>
      </w:pPr>
    </w:p>
    <w:p>
      <w:pPr>
        <w:pStyle w:val="Encabezado"/>
        <w:rPr>
          <w:rFonts w:ascii="Times New Roman" w:hAnsi="Times New Roman"/>
          <w:b/>
          <w:bCs/>
          <w:i/>
          <w:iCs/>
          <w:sz w:val="22"/>
          <w:szCs w:val="22"/>
          <w:lang w:val="es-ES"/>
        </w:rPr>
      </w:pPr>
      <w:r>
        <w:rPr>
          <w:rFonts w:ascii="Times New Roman" w:hAnsi="Times New Roman"/>
          <w:b/>
          <w:bCs/>
          <w:i/>
          <w:iCs/>
          <w:sz w:val="22"/>
          <w:szCs w:val="22"/>
          <w:lang w:val="es-ES"/>
        </w:rPr>
        <w:t>Nota: Los textos en cursiva se incluyen al solo efecto de preparar el presente formulario y deben ser eliminados en el texto final.</w:t>
      </w:r>
    </w:p>
    <w:p>
      <w:pPr>
        <w:rPr>
          <w:i/>
          <w:iCs/>
          <w:sz w:val="22"/>
          <w:szCs w:val="22"/>
          <w:lang w:val="es-ES"/>
        </w:rPr>
      </w:pPr>
    </w:p>
    <w:p>
      <w:pPr>
        <w:pStyle w:val="Formularios"/>
        <w:rPr>
          <w:rFonts w:ascii="Times New Roman" w:hAnsi="Times New Roman" w:cs="Times New Roman"/>
          <w:sz w:val="36"/>
        </w:rPr>
      </w:pPr>
      <w:r>
        <w:rPr>
          <w:rFonts w:ascii="Times New Roman" w:hAnsi="Times New Roman" w:cs="Times New Roman"/>
        </w:rPr>
        <w:br w:type="page"/>
      </w:r>
      <w:bookmarkStart w:id="706" w:name="_Toc175250626"/>
      <w:bookmarkStart w:id="707" w:name="_Toc454620983"/>
      <w:bookmarkStart w:id="708" w:name="_Toc347230627"/>
      <w:bookmarkStart w:id="709" w:name="_Toc486939193"/>
      <w:bookmarkStart w:id="710" w:name="_Toc488411755"/>
      <w:r>
        <w:rPr>
          <w:rFonts w:ascii="Times New Roman" w:hAnsi="Times New Roman" w:cs="Times New Roman"/>
        </w:rPr>
        <w:lastRenderedPageBreak/>
        <w:t>Formulario de Garantía de Mantenimiento de Oferta</w:t>
      </w:r>
      <w:bookmarkEnd w:id="706"/>
      <w:r>
        <w:rPr>
          <w:rFonts w:ascii="Times New Roman" w:hAnsi="Times New Roman" w:cs="Times New Roman"/>
          <w:sz w:val="36"/>
        </w:rPr>
        <w:t xml:space="preserve"> </w:t>
      </w:r>
    </w:p>
    <w:p>
      <w:pPr>
        <w:pStyle w:val="Ttulo5"/>
        <w:jc w:val="center"/>
        <w:rPr>
          <w:rFonts w:cs="Times New Roman"/>
          <w:sz w:val="22"/>
          <w:szCs w:val="22"/>
          <w:lang w:val="es-ES"/>
        </w:rPr>
      </w:pPr>
      <w:r>
        <w:rPr>
          <w:rFonts w:cs="Times New Roman"/>
          <w:sz w:val="22"/>
          <w:szCs w:val="22"/>
          <w:lang w:val="es-ES"/>
        </w:rPr>
        <w:t>(Fianza)</w:t>
      </w:r>
      <w:bookmarkEnd w:id="707"/>
      <w:bookmarkEnd w:id="708"/>
      <w:bookmarkEnd w:id="709"/>
      <w:r>
        <w:rPr>
          <w:rFonts w:cs="Times New Roman"/>
          <w:sz w:val="22"/>
          <w:szCs w:val="22"/>
          <w:lang w:val="es-ES"/>
        </w:rPr>
        <w:t xml:space="preserve"> NO APLICA</w:t>
      </w:r>
    </w:p>
    <w:p>
      <w:pPr>
        <w:rPr>
          <w:sz w:val="22"/>
          <w:szCs w:val="22"/>
          <w:lang w:val="es-ES"/>
        </w:rPr>
      </w:pPr>
    </w:p>
    <w:p>
      <w:pPr>
        <w:rPr>
          <w:i/>
          <w:iCs/>
          <w:sz w:val="22"/>
          <w:szCs w:val="22"/>
          <w:lang w:val="es-ES"/>
        </w:rPr>
      </w:pPr>
      <w:r>
        <w:rPr>
          <w:i/>
          <w:iCs/>
          <w:sz w:val="22"/>
          <w:szCs w:val="22"/>
          <w:lang w:val="es-ES"/>
        </w:rPr>
        <w:t>[El Garante completará este Formulario de Fianza de la Oferta de acuerdo con las instrucciones indicadas].</w:t>
      </w:r>
    </w:p>
    <w:p>
      <w:pPr>
        <w:rPr>
          <w:sz w:val="22"/>
          <w:szCs w:val="22"/>
          <w:lang w:val="es-ES"/>
        </w:rPr>
      </w:pPr>
    </w:p>
    <w:p>
      <w:pPr>
        <w:spacing w:after="200"/>
        <w:rPr>
          <w:sz w:val="22"/>
          <w:szCs w:val="22"/>
          <w:lang w:val="es-ES"/>
        </w:rPr>
      </w:pPr>
      <w:r>
        <w:rPr>
          <w:sz w:val="22"/>
          <w:szCs w:val="22"/>
          <w:lang w:val="es-ES"/>
        </w:rPr>
        <w:t>FIANZA N.</w:t>
      </w:r>
      <w:r>
        <w:rPr>
          <w:bCs/>
          <w:sz w:val="22"/>
          <w:szCs w:val="22"/>
          <w:lang w:val="es-ES"/>
        </w:rPr>
        <w:sym w:font="Symbol" w:char="F0B0"/>
      </w:r>
      <w:r>
        <w:rPr>
          <w:sz w:val="22"/>
          <w:szCs w:val="22"/>
          <w:lang w:val="es-ES"/>
        </w:rPr>
        <w:t xml:space="preserve"> _________________</w:t>
      </w:r>
    </w:p>
    <w:p>
      <w:pPr>
        <w:spacing w:after="200"/>
        <w:jc w:val="both"/>
        <w:rPr>
          <w:sz w:val="22"/>
          <w:szCs w:val="22"/>
          <w:lang w:val="es-ES"/>
        </w:rPr>
      </w:pPr>
      <w:r>
        <w:rPr>
          <w:sz w:val="22"/>
          <w:szCs w:val="22"/>
          <w:lang w:val="es-ES"/>
        </w:rPr>
        <w:t xml:space="preserve">POR ESTA FIANZA </w:t>
      </w:r>
      <w:r>
        <w:rPr>
          <w:i/>
          <w:iCs/>
          <w:sz w:val="22"/>
          <w:szCs w:val="22"/>
          <w:lang w:val="es-ES"/>
        </w:rPr>
        <w:t>[nombre del Oferente],</w:t>
      </w:r>
      <w:r>
        <w:rPr>
          <w:sz w:val="22"/>
          <w:szCs w:val="22"/>
          <w:lang w:val="es-ES"/>
        </w:rPr>
        <w:t xml:space="preserve"> obrando en calidad de Mandante (en adelante, el “Mandante”), y </w:t>
      </w:r>
      <w:r>
        <w:rPr>
          <w:i/>
          <w:iCs/>
          <w:sz w:val="22"/>
          <w:szCs w:val="22"/>
          <w:lang w:val="es-ES"/>
        </w:rPr>
        <w:t xml:space="preserve">[nombre, denominación legal y dirección del Garante], </w:t>
      </w:r>
      <w:r>
        <w:rPr>
          <w:b/>
          <w:bCs/>
          <w:sz w:val="22"/>
          <w:szCs w:val="22"/>
          <w:lang w:val="es-ES"/>
        </w:rPr>
        <w:t xml:space="preserve">autorizado para operar en </w:t>
      </w:r>
      <w:r>
        <w:rPr>
          <w:i/>
          <w:iCs/>
          <w:sz w:val="22"/>
          <w:szCs w:val="22"/>
          <w:lang w:val="es-ES"/>
        </w:rPr>
        <w:t xml:space="preserve">[nombre del País del Comprador], </w:t>
      </w:r>
      <w:r>
        <w:rPr>
          <w:sz w:val="22"/>
          <w:szCs w:val="22"/>
          <w:lang w:val="es-ES"/>
        </w:rPr>
        <w:t xml:space="preserve">y quien obre como Garante (en adelante, el “Garante”) por este instrumento se obligan y se comprometen firmemente con </w:t>
      </w:r>
      <w:r>
        <w:rPr>
          <w:i/>
          <w:iCs/>
          <w:sz w:val="22"/>
          <w:szCs w:val="22"/>
          <w:lang w:val="es-ES"/>
        </w:rPr>
        <w:t>[nombre del Comprador]</w:t>
      </w:r>
      <w:r>
        <w:rPr>
          <w:sz w:val="22"/>
          <w:szCs w:val="22"/>
          <w:lang w:val="es-ES"/>
        </w:rPr>
        <w:t xml:space="preserve"> como Demandante (en adelante, el “Comprador”) por el monto de </w:t>
      </w:r>
      <w:r>
        <w:rPr>
          <w:i/>
          <w:iCs/>
          <w:sz w:val="22"/>
          <w:szCs w:val="22"/>
          <w:lang w:val="es-ES"/>
        </w:rPr>
        <w:t>[monto de la fianza]</w:t>
      </w:r>
      <w:r>
        <w:rPr>
          <w:rStyle w:val="Refdenotaalpie"/>
          <w:sz w:val="22"/>
          <w:szCs w:val="22"/>
          <w:lang w:val="es-ES"/>
        </w:rPr>
        <w:footnoteReference w:id="12"/>
      </w:r>
      <w:r>
        <w:rPr>
          <w:i/>
          <w:iCs/>
          <w:sz w:val="22"/>
          <w:szCs w:val="22"/>
          <w:lang w:val="es-ES"/>
        </w:rPr>
        <w:t xml:space="preserve"> [indique la suma en letras], </w:t>
      </w:r>
      <w:r>
        <w:rPr>
          <w:sz w:val="22"/>
          <w:szCs w:val="22"/>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pPr>
        <w:spacing w:after="200"/>
        <w:jc w:val="both"/>
        <w:rPr>
          <w:sz w:val="22"/>
          <w:szCs w:val="22"/>
          <w:lang w:val="es-ES"/>
        </w:rPr>
      </w:pPr>
      <w:r>
        <w:rPr>
          <w:sz w:val="22"/>
          <w:szCs w:val="22"/>
          <w:lang w:val="es-ES"/>
        </w:rPr>
        <w:t xml:space="preserve">CONSIDERANDO que el Mandante ha presentado o presentará al Comprador una Oferta escrita con fecha del ____ de _______, del 20__, para la provisión de </w:t>
      </w:r>
      <w:r>
        <w:rPr>
          <w:i/>
          <w:iCs/>
          <w:sz w:val="22"/>
          <w:szCs w:val="22"/>
          <w:lang w:val="es-ES"/>
        </w:rPr>
        <w:t>[indique el nombre y/o la descripción de los bienes]</w:t>
      </w:r>
      <w:r>
        <w:rPr>
          <w:sz w:val="22"/>
          <w:szCs w:val="22"/>
          <w:lang w:val="es-ES"/>
        </w:rPr>
        <w:t xml:space="preserve"> (en adelante, la “Oferta”),</w:t>
      </w:r>
    </w:p>
    <w:p>
      <w:pPr>
        <w:spacing w:after="200"/>
        <w:jc w:val="both"/>
        <w:rPr>
          <w:sz w:val="22"/>
          <w:szCs w:val="22"/>
          <w:lang w:val="es-ES"/>
        </w:rPr>
      </w:pPr>
      <w:r>
        <w:rPr>
          <w:sz w:val="22"/>
          <w:szCs w:val="22"/>
          <w:lang w:val="es-ES"/>
        </w:rPr>
        <w:t>POR LO TANTO, LA CONDICIÓN DE ESTA OBLIGACIÓN es tal que, si el Mandante:</w:t>
      </w:r>
    </w:p>
    <w:p>
      <w:pPr>
        <w:numPr>
          <w:ilvl w:val="0"/>
          <w:numId w:val="91"/>
        </w:numPr>
        <w:tabs>
          <w:tab w:val="clear" w:pos="720"/>
          <w:tab w:val="num" w:pos="1440"/>
        </w:tabs>
        <w:spacing w:after="200"/>
        <w:ind w:hanging="720"/>
        <w:jc w:val="both"/>
        <w:rPr>
          <w:sz w:val="22"/>
          <w:szCs w:val="22"/>
          <w:lang w:val="es-ES"/>
        </w:rPr>
      </w:pPr>
      <w:r>
        <w:rPr>
          <w:sz w:val="22"/>
          <w:szCs w:val="22"/>
          <w:lang w:val="es-ES"/>
        </w:rPr>
        <w:t>ha retirado su Oferta durante el período de validez de la Oferta estipulado en la Carta de la Oferta del Mandante (“el período de validez de la Oferta”), o cualquier prórroga del plazo que haya provisto, o,</w:t>
      </w:r>
    </w:p>
    <w:p>
      <w:pPr>
        <w:numPr>
          <w:ilvl w:val="0"/>
          <w:numId w:val="91"/>
        </w:numPr>
        <w:tabs>
          <w:tab w:val="num" w:pos="1440"/>
        </w:tabs>
        <w:spacing w:after="200"/>
        <w:ind w:hanging="720"/>
        <w:jc w:val="both"/>
        <w:rPr>
          <w:sz w:val="22"/>
          <w:szCs w:val="22"/>
          <w:lang w:val="es-ES"/>
        </w:rPr>
      </w:pPr>
      <w:r>
        <w:rPr>
          <w:sz w:val="22"/>
          <w:szCs w:val="22"/>
          <w:lang w:val="es-ES"/>
        </w:rPr>
        <w:t>luego de que el Comparador lo ha notificado de la aceptación de su Oferta durante el Período de Validez de la Oferta o cualquier prórroga del plazo que haya provisto, (i) no ha suscripto el Convenio Contractual o (ii) no ha presentado la Garantía de Cumplimiento, de conformidad con las Instrucciones a los Oferentes (“IAO”) del Documento de Licitación del Comprador,</w:t>
      </w:r>
    </w:p>
    <w:p>
      <w:pPr>
        <w:spacing w:after="200"/>
        <w:jc w:val="both"/>
        <w:rPr>
          <w:sz w:val="22"/>
          <w:szCs w:val="22"/>
          <w:lang w:val="es-ES"/>
        </w:rPr>
      </w:pPr>
      <w:r>
        <w:rPr>
          <w:sz w:val="22"/>
          <w:szCs w:val="22"/>
          <w:lang w:val="es-E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pPr>
        <w:spacing w:after="200"/>
        <w:jc w:val="both"/>
        <w:rPr>
          <w:sz w:val="22"/>
          <w:szCs w:val="22"/>
          <w:lang w:val="es-ES"/>
        </w:rPr>
      </w:pPr>
      <w:r>
        <w:rPr>
          <w:sz w:val="22"/>
          <w:szCs w:val="22"/>
          <w:lang w:val="es-E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pPr>
        <w:spacing w:after="200"/>
        <w:jc w:val="both"/>
        <w:rPr>
          <w:sz w:val="22"/>
          <w:szCs w:val="22"/>
          <w:lang w:val="es-ES"/>
        </w:rPr>
      </w:pPr>
      <w:r>
        <w:rPr>
          <w:sz w:val="22"/>
          <w:szCs w:val="22"/>
          <w:lang w:val="es-ES"/>
        </w:rPr>
        <w:t>EN PRUEBA DE CONFORMIDAD</w:t>
      </w:r>
      <w:r>
        <w:rPr>
          <w:i/>
          <w:iCs/>
          <w:sz w:val="22"/>
          <w:szCs w:val="22"/>
          <w:lang w:val="es-ES"/>
        </w:rPr>
        <w:t xml:space="preserve">, </w:t>
      </w:r>
      <w:r>
        <w:rPr>
          <w:sz w:val="22"/>
          <w:szCs w:val="22"/>
          <w:lang w:val="es-ES"/>
        </w:rPr>
        <w:t>el Mandante y el Garante han dispuesto la suscripción del presente en sus respectivos nombres el día ____ del mes de _____________ del año 20__.</w:t>
      </w:r>
    </w:p>
    <w:p>
      <w:pPr>
        <w:spacing w:after="200"/>
        <w:rPr>
          <w:sz w:val="22"/>
          <w:szCs w:val="22"/>
          <w:lang w:val="es-ES"/>
        </w:rPr>
      </w:pPr>
      <w:r>
        <w:rPr>
          <w:sz w:val="22"/>
          <w:szCs w:val="22"/>
          <w:lang w:val="es-ES"/>
        </w:rPr>
        <w:t>Mandante: _______________________</w:t>
      </w:r>
      <w:r>
        <w:rPr>
          <w:sz w:val="22"/>
          <w:szCs w:val="22"/>
          <w:lang w:val="es-ES"/>
        </w:rPr>
        <w:tab/>
        <w:t>Garante: _____________________________</w:t>
      </w:r>
      <w:r>
        <w:rPr>
          <w:sz w:val="22"/>
          <w:szCs w:val="22"/>
          <w:lang w:val="es-ES"/>
        </w:rPr>
        <w:br/>
      </w:r>
      <w:r>
        <w:rPr>
          <w:sz w:val="22"/>
          <w:szCs w:val="22"/>
          <w:lang w:val="es-ES"/>
        </w:rPr>
        <w:tab/>
        <w:t>Sello corporativo (si lo hubiera)</w:t>
      </w:r>
    </w:p>
    <w:p>
      <w:pPr>
        <w:tabs>
          <w:tab w:val="left" w:pos="4320"/>
        </w:tabs>
        <w:rPr>
          <w:i/>
          <w:iCs/>
          <w:color w:val="000000"/>
          <w:sz w:val="22"/>
          <w:szCs w:val="22"/>
          <w:lang w:val="es-ES"/>
        </w:rPr>
      </w:pPr>
      <w:r>
        <w:rPr>
          <w:sz w:val="22"/>
          <w:szCs w:val="22"/>
          <w:lang w:val="es-ES"/>
        </w:rPr>
        <w:t>_______________________________</w:t>
      </w:r>
      <w:r>
        <w:rPr>
          <w:sz w:val="22"/>
          <w:szCs w:val="22"/>
          <w:lang w:val="es-ES"/>
        </w:rPr>
        <w:tab/>
        <w:t>____________________________________</w:t>
      </w:r>
      <w:r>
        <w:rPr>
          <w:sz w:val="22"/>
          <w:szCs w:val="22"/>
          <w:lang w:val="es-ES"/>
        </w:rPr>
        <w:br/>
      </w:r>
      <w:r>
        <w:rPr>
          <w:i/>
          <w:iCs/>
          <w:sz w:val="22"/>
          <w:szCs w:val="22"/>
          <w:lang w:val="es-ES"/>
        </w:rPr>
        <w:t>(Firma)</w:t>
      </w:r>
      <w:r>
        <w:rPr>
          <w:i/>
          <w:iCs/>
          <w:sz w:val="22"/>
          <w:szCs w:val="22"/>
          <w:lang w:val="es-ES"/>
        </w:rPr>
        <w:tab/>
        <w:t>(Firma)</w:t>
      </w:r>
      <w:r>
        <w:rPr>
          <w:sz w:val="22"/>
          <w:szCs w:val="22"/>
          <w:lang w:val="es-ES"/>
        </w:rPr>
        <w:br/>
      </w:r>
      <w:r>
        <w:rPr>
          <w:i/>
          <w:iCs/>
          <w:sz w:val="22"/>
          <w:szCs w:val="22"/>
          <w:lang w:val="es-ES"/>
        </w:rPr>
        <w:t>(Aclaración y cargo)</w:t>
      </w:r>
      <w:r>
        <w:rPr>
          <w:i/>
          <w:iCs/>
          <w:sz w:val="22"/>
          <w:szCs w:val="22"/>
          <w:lang w:val="es-ES"/>
        </w:rPr>
        <w:tab/>
        <w:t>(Aclaración y cargo)</w:t>
      </w:r>
    </w:p>
    <w:p>
      <w:pPr>
        <w:pStyle w:val="Formularios"/>
        <w:rPr>
          <w:rFonts w:ascii="Times New Roman" w:hAnsi="Times New Roman" w:cs="Times New Roman"/>
        </w:rPr>
      </w:pPr>
      <w:r>
        <w:rPr>
          <w:rFonts w:ascii="Times New Roman" w:hAnsi="Times New Roman" w:cs="Times New Roman"/>
        </w:rPr>
        <w:br w:type="page"/>
      </w:r>
      <w:bookmarkStart w:id="711" w:name="_Toc454620984"/>
      <w:bookmarkStart w:id="712" w:name="_Toc347230628"/>
      <w:bookmarkStart w:id="713" w:name="_Toc486939194"/>
      <w:bookmarkStart w:id="714" w:name="_Toc175250627"/>
      <w:r>
        <w:rPr>
          <w:rFonts w:ascii="Times New Roman" w:hAnsi="Times New Roman" w:cs="Times New Roman"/>
        </w:rPr>
        <w:lastRenderedPageBreak/>
        <w:t>Formulario de Declaración de Mantenimiento de Oferta</w:t>
      </w:r>
      <w:bookmarkEnd w:id="711"/>
      <w:bookmarkEnd w:id="712"/>
      <w:bookmarkEnd w:id="713"/>
      <w:bookmarkEnd w:id="714"/>
    </w:p>
    <w:p>
      <w:pPr>
        <w:rPr>
          <w:i/>
          <w:iCs/>
          <w:color w:val="0070C0"/>
          <w:sz w:val="18"/>
          <w:szCs w:val="18"/>
          <w:lang w:val="es-ES"/>
        </w:rPr>
      </w:pPr>
      <w:r>
        <w:rPr>
          <w:i/>
          <w:iCs/>
          <w:color w:val="0070C0"/>
          <w:sz w:val="18"/>
          <w:szCs w:val="18"/>
          <w:lang w:val="es-ES"/>
        </w:rPr>
        <w:t>[El Oferente completará este Formulario de Declaración de Mantenimiento de Oferta de acuerdo con las instrucciones indicadas].</w:t>
      </w:r>
    </w:p>
    <w:p>
      <w:pPr>
        <w:tabs>
          <w:tab w:val="right" w:pos="9360"/>
        </w:tabs>
        <w:ind w:left="720" w:hanging="720"/>
        <w:jc w:val="right"/>
        <w:rPr>
          <w:sz w:val="22"/>
          <w:szCs w:val="22"/>
          <w:lang w:val="es-ES"/>
        </w:rPr>
      </w:pPr>
      <w:r>
        <w:rPr>
          <w:sz w:val="22"/>
          <w:szCs w:val="22"/>
          <w:lang w:val="es-ES"/>
        </w:rPr>
        <w:t xml:space="preserve">Fecha: </w:t>
      </w:r>
      <w:r>
        <w:rPr>
          <w:i/>
          <w:iCs/>
          <w:sz w:val="22"/>
          <w:szCs w:val="22"/>
          <w:lang w:val="es-ES"/>
        </w:rPr>
        <w:t>[indique día, mes y año de presentación de la oferta].</w:t>
      </w:r>
    </w:p>
    <w:p>
      <w:pPr>
        <w:tabs>
          <w:tab w:val="right" w:pos="9360"/>
        </w:tabs>
        <w:ind w:left="720" w:hanging="720"/>
        <w:jc w:val="right"/>
        <w:rPr>
          <w:i/>
          <w:iCs/>
          <w:sz w:val="22"/>
          <w:szCs w:val="22"/>
          <w:lang w:val="es-ES"/>
        </w:rPr>
      </w:pPr>
      <w:r>
        <w:rPr>
          <w:sz w:val="22"/>
          <w:szCs w:val="22"/>
          <w:lang w:val="es-ES"/>
        </w:rPr>
        <w:t>SDO n.</w:t>
      </w:r>
      <w:r>
        <w:rPr>
          <w:bCs/>
          <w:sz w:val="22"/>
          <w:szCs w:val="22"/>
          <w:lang w:val="es-ES"/>
        </w:rPr>
        <w:sym w:font="Symbol" w:char="F0B0"/>
      </w:r>
      <w:r>
        <w:rPr>
          <w:sz w:val="22"/>
          <w:szCs w:val="22"/>
          <w:lang w:val="es-ES"/>
        </w:rPr>
        <w:t xml:space="preserve">: </w:t>
      </w:r>
      <w:r>
        <w:rPr>
          <w:i/>
          <w:iCs/>
          <w:sz w:val="22"/>
          <w:szCs w:val="22"/>
          <w:lang w:val="es-ES"/>
        </w:rPr>
        <w:t xml:space="preserve"> </w:t>
      </w:r>
      <w:r>
        <w:rPr>
          <w:spacing w:val="-1"/>
          <w:sz w:val="22"/>
          <w:szCs w:val="22"/>
          <w:lang w:val="es-ES"/>
        </w:rPr>
        <w:t>EC-L1249-P00028</w:t>
      </w:r>
    </w:p>
    <w:p>
      <w:pPr>
        <w:tabs>
          <w:tab w:val="right" w:pos="9360"/>
        </w:tabs>
        <w:ind w:left="720" w:hanging="720"/>
        <w:jc w:val="right"/>
        <w:rPr>
          <w:spacing w:val="-1"/>
          <w:sz w:val="22"/>
          <w:szCs w:val="22"/>
          <w:lang w:val="es-ES"/>
        </w:rPr>
      </w:pPr>
      <w:r>
        <w:rPr>
          <w:spacing w:val="-1"/>
          <w:sz w:val="22"/>
          <w:szCs w:val="22"/>
          <w:lang w:val="es-ES"/>
        </w:rPr>
        <w:t>Alternativa n.</w:t>
      </w:r>
      <w:r>
        <w:rPr>
          <w:bCs/>
          <w:spacing w:val="-1"/>
          <w:sz w:val="22"/>
          <w:szCs w:val="22"/>
          <w:lang w:val="es-ES"/>
        </w:rPr>
        <w:sym w:font="Symbol" w:char="F0B0"/>
      </w:r>
      <w:r>
        <w:rPr>
          <w:spacing w:val="-1"/>
          <w:sz w:val="22"/>
          <w:szCs w:val="22"/>
          <w:lang w:val="es-ES"/>
        </w:rPr>
        <w:t>:</w:t>
      </w:r>
      <w:r>
        <w:rPr>
          <w:i/>
          <w:iCs/>
          <w:spacing w:val="-1"/>
          <w:sz w:val="22"/>
          <w:szCs w:val="22"/>
          <w:lang w:val="es-ES"/>
        </w:rPr>
        <w:t xml:space="preserve"> No Aplica</w:t>
      </w:r>
    </w:p>
    <w:p>
      <w:pPr>
        <w:rPr>
          <w:sz w:val="22"/>
          <w:szCs w:val="22"/>
          <w:lang w:val="es-ES"/>
        </w:rPr>
      </w:pPr>
    </w:p>
    <w:p>
      <w:pPr>
        <w:rPr>
          <w:b/>
          <w:sz w:val="22"/>
          <w:szCs w:val="22"/>
          <w:lang w:val="es-ES"/>
        </w:rPr>
      </w:pPr>
      <w:r>
        <w:rPr>
          <w:sz w:val="22"/>
          <w:szCs w:val="22"/>
          <w:lang w:val="es-ES"/>
        </w:rPr>
        <w:t xml:space="preserve">Para: </w:t>
      </w:r>
      <w:r>
        <w:rPr>
          <w:iCs/>
          <w:sz w:val="22"/>
          <w:szCs w:val="22"/>
          <w:lang w:val="es-ES"/>
        </w:rPr>
        <w:t>Procuraduría General del Estado</w:t>
      </w:r>
    </w:p>
    <w:p>
      <w:pPr>
        <w:rPr>
          <w:sz w:val="22"/>
          <w:szCs w:val="22"/>
          <w:lang w:val="es-ES"/>
        </w:rPr>
      </w:pPr>
    </w:p>
    <w:p>
      <w:pPr>
        <w:rPr>
          <w:sz w:val="22"/>
          <w:szCs w:val="22"/>
          <w:lang w:val="es-ES"/>
        </w:rPr>
      </w:pPr>
      <w:r>
        <w:rPr>
          <w:sz w:val="22"/>
          <w:szCs w:val="22"/>
          <w:lang w:val="es-ES"/>
        </w:rPr>
        <w:t xml:space="preserve">Los suscriptos declaramos que: </w:t>
      </w:r>
    </w:p>
    <w:p>
      <w:pPr>
        <w:pStyle w:val="NormalWeb"/>
        <w:spacing w:before="0" w:beforeAutospacing="0" w:after="0" w:afterAutospacing="0"/>
        <w:jc w:val="both"/>
        <w:rPr>
          <w:rFonts w:ascii="Times New Roman" w:hAnsi="Times New Roman"/>
          <w:sz w:val="22"/>
          <w:szCs w:val="22"/>
          <w:lang w:val="es-ES"/>
        </w:rPr>
      </w:pPr>
    </w:p>
    <w:p>
      <w:pPr>
        <w:pStyle w:val="NormalWeb"/>
        <w:spacing w:before="0" w:beforeAutospacing="0" w:after="0" w:afterAutospacing="0"/>
        <w:jc w:val="both"/>
        <w:rPr>
          <w:rFonts w:ascii="Times New Roman" w:hAnsi="Times New Roman"/>
          <w:sz w:val="22"/>
          <w:szCs w:val="22"/>
          <w:lang w:val="es-ES"/>
        </w:rPr>
      </w:pPr>
      <w:r>
        <w:rPr>
          <w:rFonts w:ascii="Times New Roman" w:hAnsi="Times New Roman"/>
          <w:sz w:val="22"/>
          <w:szCs w:val="22"/>
          <w:lang w:val="es-ES"/>
        </w:rPr>
        <w:t>Entendemos que, de acuerdo con sus condiciones, las Ofertas deberán estar respaldadas por una Declaración de Mantenimiento de Oferta.</w:t>
      </w:r>
    </w:p>
    <w:p>
      <w:pPr>
        <w:pStyle w:val="NormalWeb"/>
        <w:spacing w:before="0" w:beforeAutospacing="0" w:after="0" w:afterAutospacing="0"/>
        <w:jc w:val="both"/>
        <w:rPr>
          <w:rFonts w:ascii="Times New Roman" w:hAnsi="Times New Roman"/>
          <w:sz w:val="22"/>
          <w:szCs w:val="22"/>
          <w:lang w:val="es-ES"/>
        </w:rPr>
      </w:pPr>
    </w:p>
    <w:p>
      <w:pPr>
        <w:pStyle w:val="NormalWeb"/>
        <w:spacing w:before="0" w:beforeAutospacing="0" w:after="0" w:afterAutospacing="0"/>
        <w:jc w:val="both"/>
        <w:rPr>
          <w:rFonts w:ascii="Times New Roman" w:hAnsi="Times New Roman"/>
          <w:sz w:val="22"/>
          <w:szCs w:val="22"/>
          <w:lang w:val="es-ES"/>
        </w:rPr>
      </w:pPr>
      <w:r>
        <w:rPr>
          <w:rFonts w:ascii="Times New Roman" w:hAnsi="Times New Roman"/>
          <w:sz w:val="22"/>
          <w:szCs w:val="22"/>
          <w:lang w:val="es-ES"/>
        </w:rPr>
        <w:t xml:space="preserve">Aceptamos que seremos declarados automáticamente inelegibles para participar en cualquier licitación de contrato con el Comprador por un período de </w:t>
      </w:r>
      <w:r>
        <w:rPr>
          <w:rFonts w:ascii="Times New Roman" w:hAnsi="Times New Roman"/>
          <w:i/>
          <w:iCs/>
          <w:sz w:val="22"/>
          <w:szCs w:val="22"/>
          <w:lang w:val="es-ES"/>
        </w:rPr>
        <w:t xml:space="preserve">2 años </w:t>
      </w:r>
      <w:r>
        <w:rPr>
          <w:rFonts w:ascii="Times New Roman" w:hAnsi="Times New Roman"/>
          <w:sz w:val="22"/>
          <w:szCs w:val="22"/>
          <w:lang w:val="es-ES"/>
        </w:rPr>
        <w:t xml:space="preserve">contado a partir de </w:t>
      </w:r>
      <w:r>
        <w:rPr>
          <w:rFonts w:ascii="Times New Roman" w:hAnsi="Times New Roman"/>
          <w:iCs/>
          <w:sz w:val="22"/>
          <w:szCs w:val="22"/>
          <w:lang w:val="es-ES"/>
        </w:rPr>
        <w:t>la fecha de entrega de la oferta</w:t>
      </w:r>
      <w:r>
        <w:rPr>
          <w:rFonts w:ascii="Times New Roman" w:hAnsi="Times New Roman"/>
          <w:i/>
          <w:iCs/>
          <w:sz w:val="22"/>
          <w:szCs w:val="22"/>
          <w:lang w:val="es-ES"/>
        </w:rPr>
        <w:t xml:space="preserve"> </w:t>
      </w:r>
      <w:r>
        <w:rPr>
          <w:rFonts w:ascii="Times New Roman" w:hAnsi="Times New Roman"/>
          <w:sz w:val="22"/>
          <w:szCs w:val="22"/>
          <w:lang w:val="es-ES"/>
        </w:rPr>
        <w:t>si incumplimos nuestras obligaciones derivadas de las condiciones de la oferta, a saber:</w:t>
      </w:r>
    </w:p>
    <w:p>
      <w:pPr>
        <w:pStyle w:val="NormalWeb"/>
        <w:spacing w:before="0" w:beforeAutospacing="0" w:after="0" w:afterAutospacing="0"/>
        <w:ind w:left="720" w:hanging="720"/>
        <w:jc w:val="both"/>
        <w:rPr>
          <w:rFonts w:ascii="Times New Roman" w:hAnsi="Times New Roman"/>
          <w:sz w:val="22"/>
          <w:szCs w:val="22"/>
          <w:lang w:val="es-ES"/>
        </w:rPr>
      </w:pPr>
    </w:p>
    <w:p>
      <w:pPr>
        <w:pStyle w:val="NormalWeb"/>
        <w:numPr>
          <w:ilvl w:val="4"/>
          <w:numId w:val="103"/>
        </w:numPr>
        <w:spacing w:before="0" w:beforeAutospacing="0" w:after="200" w:afterAutospacing="0"/>
        <w:ind w:left="720" w:hanging="720"/>
        <w:jc w:val="both"/>
        <w:rPr>
          <w:rFonts w:ascii="Times New Roman" w:hAnsi="Times New Roman"/>
          <w:sz w:val="22"/>
          <w:szCs w:val="22"/>
          <w:lang w:val="es-ES"/>
        </w:rPr>
      </w:pPr>
      <w:r>
        <w:rPr>
          <w:rFonts w:ascii="Times New Roman" w:hAnsi="Times New Roman"/>
          <w:sz w:val="22"/>
          <w:szCs w:val="22"/>
          <w:lang w:val="es-ES"/>
        </w:rPr>
        <w:t>si retiramos nuestra Oferta durante el período de vigencia de la Oferta especificado en la Carta de la Oferta, o</w:t>
      </w:r>
    </w:p>
    <w:p>
      <w:pPr>
        <w:pStyle w:val="NormalWeb"/>
        <w:numPr>
          <w:ilvl w:val="4"/>
          <w:numId w:val="103"/>
        </w:numPr>
        <w:spacing w:before="0" w:beforeAutospacing="0" w:after="0" w:afterAutospacing="0"/>
        <w:ind w:left="720" w:hanging="720"/>
        <w:jc w:val="both"/>
        <w:rPr>
          <w:rFonts w:ascii="Times New Roman" w:hAnsi="Times New Roman"/>
          <w:sz w:val="22"/>
          <w:szCs w:val="22"/>
          <w:lang w:val="es-ES"/>
        </w:rPr>
      </w:pPr>
      <w:r>
        <w:rPr>
          <w:rFonts w:ascii="Times New Roman" w:hAnsi="Times New Roman"/>
          <w:sz w:val="22"/>
          <w:szCs w:val="22"/>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pPr>
        <w:pStyle w:val="NormalWeb"/>
        <w:spacing w:before="0" w:beforeAutospacing="0" w:after="0" w:afterAutospacing="0"/>
        <w:jc w:val="both"/>
        <w:rPr>
          <w:rFonts w:ascii="Times New Roman" w:hAnsi="Times New Roman"/>
          <w:sz w:val="22"/>
          <w:szCs w:val="22"/>
          <w:lang w:val="es-ES"/>
        </w:rPr>
      </w:pPr>
    </w:p>
    <w:p>
      <w:pPr>
        <w:pStyle w:val="NormalWeb"/>
        <w:spacing w:before="0" w:beforeAutospacing="0" w:after="0" w:afterAutospacing="0"/>
        <w:jc w:val="both"/>
        <w:rPr>
          <w:rFonts w:ascii="Times New Roman" w:hAnsi="Times New Roman"/>
          <w:sz w:val="22"/>
          <w:szCs w:val="22"/>
          <w:lang w:val="es-ES"/>
        </w:rPr>
      </w:pPr>
      <w:r>
        <w:rPr>
          <w:rFonts w:ascii="Times New Roman" w:hAnsi="Times New Roman"/>
          <w:sz w:val="22"/>
          <w:szCs w:val="22"/>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pPr>
        <w:tabs>
          <w:tab w:val="left" w:pos="6120"/>
        </w:tabs>
        <w:spacing w:after="200"/>
        <w:rPr>
          <w:sz w:val="22"/>
          <w:szCs w:val="22"/>
          <w:lang w:val="es-ES"/>
        </w:rPr>
      </w:pPr>
    </w:p>
    <w:p>
      <w:pPr>
        <w:tabs>
          <w:tab w:val="left" w:pos="6120"/>
        </w:tabs>
        <w:spacing w:after="200"/>
        <w:rPr>
          <w:iCs/>
          <w:sz w:val="22"/>
          <w:szCs w:val="22"/>
          <w:lang w:val="es-ES"/>
        </w:rPr>
      </w:pPr>
      <w:r>
        <w:rPr>
          <w:sz w:val="22"/>
          <w:szCs w:val="22"/>
          <w:lang w:val="es-ES"/>
        </w:rPr>
        <w:t>Nombre del Oferente*:</w:t>
      </w:r>
      <w:r>
        <w:rPr>
          <w:iCs/>
          <w:sz w:val="22"/>
          <w:szCs w:val="22"/>
          <w:u w:val="single"/>
          <w:lang w:val="es-ES"/>
        </w:rPr>
        <w:tab/>
      </w:r>
    </w:p>
    <w:p>
      <w:pPr>
        <w:tabs>
          <w:tab w:val="right" w:leader="underscore" w:pos="9000"/>
        </w:tabs>
        <w:spacing w:after="200"/>
        <w:rPr>
          <w:iCs/>
          <w:sz w:val="22"/>
          <w:szCs w:val="22"/>
          <w:u w:val="single"/>
          <w:lang w:val="es-ES"/>
        </w:rPr>
      </w:pPr>
      <w:r>
        <w:rPr>
          <w:sz w:val="22"/>
          <w:szCs w:val="22"/>
          <w:lang w:val="es-ES"/>
        </w:rPr>
        <w:t xml:space="preserve">Nombre de la persona debidamente autorizada para firmar la Oferta en nombre del Oferente**: </w:t>
      </w:r>
      <w:r>
        <w:rPr>
          <w:sz w:val="22"/>
          <w:szCs w:val="22"/>
          <w:lang w:val="es-ES"/>
        </w:rPr>
        <w:tab/>
      </w:r>
    </w:p>
    <w:p>
      <w:pPr>
        <w:tabs>
          <w:tab w:val="right" w:leader="underscore" w:pos="9000"/>
        </w:tabs>
        <w:spacing w:after="200"/>
        <w:rPr>
          <w:iCs/>
          <w:sz w:val="22"/>
          <w:szCs w:val="22"/>
          <w:lang w:val="es-ES"/>
        </w:rPr>
      </w:pPr>
      <w:r>
        <w:rPr>
          <w:sz w:val="22"/>
          <w:szCs w:val="22"/>
          <w:lang w:val="es-ES"/>
        </w:rPr>
        <w:t xml:space="preserve">Cargo de la persona firmante del Formulario de la Oferta: </w:t>
      </w:r>
      <w:r>
        <w:rPr>
          <w:sz w:val="22"/>
          <w:szCs w:val="22"/>
          <w:lang w:val="es-ES"/>
        </w:rPr>
        <w:tab/>
      </w:r>
    </w:p>
    <w:p>
      <w:pPr>
        <w:tabs>
          <w:tab w:val="right" w:leader="underscore" w:pos="9000"/>
        </w:tabs>
        <w:spacing w:after="200"/>
        <w:rPr>
          <w:iCs/>
          <w:sz w:val="22"/>
          <w:szCs w:val="22"/>
          <w:lang w:val="es-ES"/>
        </w:rPr>
      </w:pPr>
      <w:r>
        <w:rPr>
          <w:sz w:val="22"/>
          <w:szCs w:val="22"/>
          <w:lang w:val="es-ES"/>
        </w:rPr>
        <w:t xml:space="preserve">Firma de la persona nombrada anteriormente: </w:t>
      </w:r>
      <w:r>
        <w:rPr>
          <w:sz w:val="22"/>
          <w:szCs w:val="22"/>
          <w:lang w:val="es-ES"/>
        </w:rPr>
        <w:tab/>
      </w:r>
    </w:p>
    <w:p>
      <w:pPr>
        <w:tabs>
          <w:tab w:val="left" w:pos="6120"/>
        </w:tabs>
        <w:spacing w:after="200"/>
        <w:rPr>
          <w:iCs/>
          <w:sz w:val="22"/>
          <w:szCs w:val="22"/>
          <w:lang w:val="es-ES"/>
        </w:rPr>
      </w:pPr>
      <w:r>
        <w:rPr>
          <w:sz w:val="22"/>
          <w:szCs w:val="22"/>
          <w:lang w:val="es-ES"/>
        </w:rPr>
        <w:t>Fecha de la firma: El día ____________ del mes __________________ del año __________.</w:t>
      </w:r>
    </w:p>
    <w:p>
      <w:pPr>
        <w:tabs>
          <w:tab w:val="left" w:pos="6120"/>
        </w:tabs>
        <w:spacing w:after="200"/>
        <w:rPr>
          <w:iCs/>
          <w:sz w:val="22"/>
          <w:szCs w:val="22"/>
          <w:lang w:val="es-ES"/>
        </w:rPr>
      </w:pPr>
      <w:r>
        <w:rPr>
          <w:b/>
          <w:bCs/>
          <w:sz w:val="22"/>
          <w:szCs w:val="22"/>
          <w:lang w:val="es-ES"/>
        </w:rPr>
        <w:t>*</w:t>
      </w:r>
      <w:r>
        <w:rPr>
          <w:sz w:val="22"/>
          <w:szCs w:val="22"/>
          <w:lang w:val="es-ES"/>
        </w:rPr>
        <w:t xml:space="preserve"> En el caso de las Ofertas presentadas por una APCA, especifique el nombre de la APCA que actúa como Oferente.</w:t>
      </w:r>
    </w:p>
    <w:p>
      <w:pPr>
        <w:tabs>
          <w:tab w:val="right" w:pos="9000"/>
        </w:tabs>
        <w:suppressAutoHyphens/>
        <w:rPr>
          <w:bCs/>
          <w:iCs/>
          <w:sz w:val="22"/>
          <w:szCs w:val="22"/>
          <w:lang w:val="es-ES"/>
        </w:rPr>
      </w:pPr>
      <w:r>
        <w:rPr>
          <w:sz w:val="22"/>
          <w:szCs w:val="22"/>
          <w:lang w:val="es-ES"/>
        </w:rPr>
        <w:t>** La persona que firme la Oferta deberá contar con el poder otorgado por el Oferente. El poder deberá adjuntarse a los Formularios de la Oferta.</w:t>
      </w:r>
    </w:p>
    <w:p>
      <w:pPr>
        <w:tabs>
          <w:tab w:val="right" w:pos="9000"/>
        </w:tabs>
        <w:suppressAutoHyphens/>
        <w:rPr>
          <w:i/>
          <w:iCs/>
          <w:sz w:val="22"/>
          <w:szCs w:val="22"/>
          <w:lang w:val="es-ES"/>
        </w:rPr>
      </w:pPr>
      <w:r>
        <w:rPr>
          <w:i/>
          <w:iCs/>
          <w:sz w:val="22"/>
          <w:szCs w:val="22"/>
          <w:lang w:val="es-ES"/>
        </w:rPr>
        <w:t>[Nota: En caso de que se trate de una APCA, la Declaración de Mantenimiento de Oferta deberá emitirse en nombre de todos los miembros de la APCA que presenta la Oferta].</w:t>
      </w:r>
    </w:p>
    <w:p>
      <w:pPr>
        <w:pStyle w:val="Formularios"/>
        <w:rPr>
          <w:rFonts w:ascii="Times New Roman" w:hAnsi="Times New Roman" w:cs="Times New Roman"/>
        </w:rPr>
      </w:pPr>
      <w:r>
        <w:rPr>
          <w:rFonts w:ascii="Times New Roman" w:hAnsi="Times New Roman" w:cs="Times New Roman"/>
        </w:rPr>
        <w:br w:type="page"/>
      </w:r>
      <w:bookmarkStart w:id="715" w:name="_Toc454620985"/>
      <w:bookmarkStart w:id="716" w:name="_Toc486939195"/>
      <w:bookmarkStart w:id="717" w:name="_Toc175250628"/>
      <w:r>
        <w:rPr>
          <w:rFonts w:ascii="Times New Roman" w:hAnsi="Times New Roman" w:cs="Times New Roman"/>
        </w:rPr>
        <w:lastRenderedPageBreak/>
        <w:t>Autorización</w:t>
      </w:r>
      <w:bookmarkEnd w:id="710"/>
      <w:r>
        <w:rPr>
          <w:rFonts w:ascii="Times New Roman" w:hAnsi="Times New Roman" w:cs="Times New Roman"/>
        </w:rPr>
        <w:t xml:space="preserve"> del Fabricante</w:t>
      </w:r>
      <w:bookmarkEnd w:id="715"/>
      <w:bookmarkEnd w:id="716"/>
      <w:bookmarkEnd w:id="717"/>
    </w:p>
    <w:p>
      <w:pPr>
        <w:jc w:val="center"/>
        <w:rPr>
          <w:b/>
          <w:lang w:val="es-ES"/>
        </w:rPr>
      </w:pPr>
      <w:r>
        <w:rPr>
          <w:b/>
          <w:lang w:val="es-ES"/>
        </w:rPr>
        <w:t>NO APLICA</w:t>
      </w:r>
    </w:p>
    <w:p>
      <w:pPr>
        <w:jc w:val="both"/>
        <w:rPr>
          <w:i/>
          <w:iCs/>
          <w:sz w:val="22"/>
          <w:szCs w:val="22"/>
          <w:lang w:val="es-ES"/>
        </w:rPr>
      </w:pPr>
      <w:r>
        <w:rPr>
          <w:i/>
          <w:iCs/>
          <w:sz w:val="22"/>
          <w:szCs w:val="22"/>
          <w:lang w:val="es-E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pPr>
        <w:rPr>
          <w:sz w:val="22"/>
          <w:szCs w:val="22"/>
          <w:lang w:val="es-ES"/>
        </w:rPr>
      </w:pPr>
    </w:p>
    <w:p>
      <w:pPr>
        <w:ind w:left="720" w:hanging="720"/>
        <w:jc w:val="right"/>
        <w:rPr>
          <w:sz w:val="22"/>
          <w:szCs w:val="22"/>
          <w:lang w:val="es-ES"/>
        </w:rPr>
      </w:pPr>
      <w:r>
        <w:rPr>
          <w:sz w:val="22"/>
          <w:szCs w:val="22"/>
          <w:lang w:val="es-ES"/>
        </w:rPr>
        <w:t xml:space="preserve">Fecha: </w:t>
      </w:r>
      <w:r>
        <w:rPr>
          <w:i/>
          <w:iCs/>
          <w:sz w:val="22"/>
          <w:szCs w:val="22"/>
          <w:lang w:val="es-ES"/>
        </w:rPr>
        <w:t>[indique día, mes y año de presentación de la oferta].</w:t>
      </w:r>
    </w:p>
    <w:p>
      <w:pPr>
        <w:ind w:left="720" w:hanging="720"/>
        <w:jc w:val="right"/>
        <w:rPr>
          <w:i/>
          <w:sz w:val="22"/>
          <w:szCs w:val="22"/>
          <w:lang w:val="es-ES"/>
        </w:rPr>
      </w:pPr>
      <w:r>
        <w:rPr>
          <w:sz w:val="22"/>
          <w:szCs w:val="22"/>
          <w:lang w:val="es-ES"/>
        </w:rPr>
        <w:t>SDO n.</w:t>
      </w:r>
      <w:r>
        <w:rPr>
          <w:bCs/>
          <w:sz w:val="22"/>
          <w:szCs w:val="22"/>
          <w:lang w:val="es-ES"/>
        </w:rPr>
        <w:sym w:font="Symbol" w:char="F0B0"/>
      </w:r>
      <w:r>
        <w:rPr>
          <w:sz w:val="22"/>
          <w:szCs w:val="22"/>
          <w:lang w:val="es-ES"/>
        </w:rPr>
        <w:t>:</w:t>
      </w:r>
      <w:r>
        <w:rPr>
          <w:i/>
          <w:iCs/>
          <w:sz w:val="22"/>
          <w:szCs w:val="22"/>
          <w:lang w:val="es-ES"/>
        </w:rPr>
        <w:t xml:space="preserve"> [Indique el número del proceso de la SDO].</w:t>
      </w:r>
    </w:p>
    <w:p>
      <w:pPr>
        <w:ind w:left="720" w:hanging="720"/>
        <w:jc w:val="right"/>
        <w:rPr>
          <w:spacing w:val="-1"/>
          <w:sz w:val="22"/>
          <w:szCs w:val="22"/>
          <w:lang w:val="es-ES"/>
        </w:rPr>
      </w:pPr>
      <w:r>
        <w:rPr>
          <w:spacing w:val="-1"/>
          <w:sz w:val="22"/>
          <w:szCs w:val="22"/>
          <w:lang w:val="es-ES"/>
        </w:rPr>
        <w:t>Alternativa n.</w:t>
      </w:r>
      <w:r>
        <w:rPr>
          <w:bCs/>
          <w:spacing w:val="-1"/>
          <w:sz w:val="22"/>
          <w:szCs w:val="22"/>
          <w:lang w:val="es-ES"/>
        </w:rPr>
        <w:sym w:font="Symbol" w:char="F0B0"/>
      </w:r>
      <w:r>
        <w:rPr>
          <w:spacing w:val="-1"/>
          <w:sz w:val="22"/>
          <w:szCs w:val="22"/>
          <w:lang w:val="es-ES"/>
        </w:rPr>
        <w:t>:</w:t>
      </w:r>
      <w:r>
        <w:rPr>
          <w:i/>
          <w:iCs/>
          <w:spacing w:val="-1"/>
          <w:sz w:val="22"/>
          <w:szCs w:val="22"/>
          <w:lang w:val="es-ES"/>
        </w:rPr>
        <w:t xml:space="preserve"> [indique el n.</w:t>
      </w:r>
      <w:r>
        <w:rPr>
          <w:bCs/>
          <w:spacing w:val="-1"/>
          <w:sz w:val="22"/>
          <w:szCs w:val="22"/>
          <w:lang w:val="es-ES"/>
        </w:rPr>
        <w:sym w:font="Symbol" w:char="F0B0"/>
      </w:r>
      <w:r>
        <w:rPr>
          <w:i/>
          <w:iCs/>
          <w:spacing w:val="-1"/>
          <w:sz w:val="22"/>
          <w:szCs w:val="22"/>
          <w:lang w:val="es-ES"/>
        </w:rPr>
        <w:t xml:space="preserve"> de identificación si se trata de una oferta por una alternativa].</w:t>
      </w:r>
    </w:p>
    <w:p>
      <w:pPr>
        <w:ind w:left="720" w:hanging="720"/>
        <w:jc w:val="right"/>
        <w:rPr>
          <w:i/>
          <w:sz w:val="22"/>
          <w:szCs w:val="22"/>
          <w:lang w:val="es-ES"/>
        </w:rPr>
      </w:pPr>
    </w:p>
    <w:p>
      <w:pPr>
        <w:rPr>
          <w:color w:val="FF0000"/>
          <w:sz w:val="22"/>
          <w:szCs w:val="22"/>
          <w:lang w:val="es-ES"/>
        </w:rPr>
      </w:pPr>
      <w:r>
        <w:rPr>
          <w:sz w:val="22"/>
          <w:szCs w:val="22"/>
          <w:lang w:val="es-ES"/>
        </w:rPr>
        <w:t xml:space="preserve">Para: </w:t>
      </w:r>
      <w:r>
        <w:rPr>
          <w:i/>
          <w:iCs/>
          <w:sz w:val="22"/>
          <w:szCs w:val="22"/>
          <w:lang w:val="es-ES"/>
        </w:rPr>
        <w:t>[indique el nombre completo del Comprador].</w:t>
      </w:r>
    </w:p>
    <w:p>
      <w:pPr>
        <w:rPr>
          <w:i/>
          <w:sz w:val="22"/>
          <w:szCs w:val="22"/>
          <w:lang w:val="es-ES"/>
        </w:rPr>
      </w:pPr>
    </w:p>
    <w:p>
      <w:pPr>
        <w:rPr>
          <w:sz w:val="22"/>
          <w:szCs w:val="22"/>
          <w:lang w:val="es-ES"/>
        </w:rPr>
      </w:pPr>
      <w:r>
        <w:rPr>
          <w:sz w:val="22"/>
          <w:szCs w:val="22"/>
          <w:lang w:val="es-ES"/>
        </w:rPr>
        <w:t>POR CUANTO</w:t>
      </w:r>
    </w:p>
    <w:p>
      <w:pPr>
        <w:rPr>
          <w:sz w:val="22"/>
          <w:szCs w:val="22"/>
          <w:lang w:val="es-ES"/>
        </w:rPr>
      </w:pPr>
    </w:p>
    <w:p>
      <w:pPr>
        <w:jc w:val="both"/>
        <w:rPr>
          <w:sz w:val="22"/>
          <w:szCs w:val="22"/>
          <w:lang w:val="es-ES"/>
        </w:rPr>
      </w:pPr>
      <w:r>
        <w:rPr>
          <w:sz w:val="22"/>
          <w:szCs w:val="22"/>
          <w:lang w:val="es-ES"/>
        </w:rPr>
        <w:t xml:space="preserve">Nosotros </w:t>
      </w:r>
      <w:r>
        <w:rPr>
          <w:i/>
          <w:iCs/>
          <w:sz w:val="22"/>
          <w:szCs w:val="22"/>
          <w:lang w:val="es-ES"/>
        </w:rPr>
        <w:t>[indique nombre completo del Fabricante]</w:t>
      </w:r>
      <w:r>
        <w:rPr>
          <w:sz w:val="22"/>
          <w:szCs w:val="22"/>
          <w:lang w:val="es-ES"/>
        </w:rPr>
        <w:t xml:space="preserve">, como fabricantes oficiales de </w:t>
      </w:r>
      <w:r>
        <w:rPr>
          <w:i/>
          <w:iCs/>
          <w:sz w:val="22"/>
          <w:szCs w:val="22"/>
          <w:lang w:val="es-ES"/>
        </w:rPr>
        <w:t>[indique el nombre de los bienes fabricados]</w:t>
      </w:r>
      <w:r>
        <w:rPr>
          <w:sz w:val="22"/>
          <w:szCs w:val="22"/>
          <w:lang w:val="es-ES"/>
        </w:rPr>
        <w:t xml:space="preserve">, con fábricas ubicadas en </w:t>
      </w:r>
      <w:r>
        <w:rPr>
          <w:i/>
          <w:iCs/>
          <w:sz w:val="22"/>
          <w:szCs w:val="22"/>
          <w:lang w:val="es-ES"/>
        </w:rPr>
        <w:t xml:space="preserve">[indique la dirección completa de las fábricas], </w:t>
      </w:r>
      <w:r>
        <w:rPr>
          <w:sz w:val="22"/>
          <w:szCs w:val="22"/>
          <w:lang w:val="es-ES"/>
        </w:rPr>
        <w:t xml:space="preserve">autorizamos mediante el presente a </w:t>
      </w:r>
      <w:r>
        <w:rPr>
          <w:i/>
          <w:iCs/>
          <w:sz w:val="22"/>
          <w:szCs w:val="22"/>
          <w:lang w:val="es-ES"/>
        </w:rPr>
        <w:t>[indique el nombre completo del Oferente]</w:t>
      </w:r>
      <w:r>
        <w:rPr>
          <w:sz w:val="22"/>
          <w:szCs w:val="22"/>
          <w:lang w:val="es-ES"/>
        </w:rPr>
        <w:t xml:space="preserve"> a presentar una Oferta con el propósito de suministrar los siguientes Bienes de nuestra fabricación </w:t>
      </w:r>
      <w:r>
        <w:rPr>
          <w:i/>
          <w:iCs/>
          <w:sz w:val="22"/>
          <w:szCs w:val="22"/>
          <w:lang w:val="es-ES"/>
        </w:rPr>
        <w:t>[nombre y breve descripción de los bienes]</w:t>
      </w:r>
      <w:r>
        <w:rPr>
          <w:sz w:val="22"/>
          <w:szCs w:val="22"/>
          <w:lang w:val="es-ES"/>
        </w:rPr>
        <w:t>, y a posteriormente negociar y firmar el Contrato.</w:t>
      </w:r>
    </w:p>
    <w:p>
      <w:pPr>
        <w:jc w:val="both"/>
        <w:rPr>
          <w:sz w:val="22"/>
          <w:szCs w:val="22"/>
          <w:lang w:val="es-ES"/>
        </w:rPr>
      </w:pPr>
    </w:p>
    <w:p>
      <w:pPr>
        <w:jc w:val="both"/>
        <w:rPr>
          <w:sz w:val="22"/>
          <w:szCs w:val="22"/>
          <w:lang w:val="es-ES"/>
        </w:rPr>
      </w:pPr>
      <w:r>
        <w:rPr>
          <w:sz w:val="22"/>
          <w:szCs w:val="22"/>
          <w:lang w:val="es-ES"/>
        </w:rPr>
        <w:t>Por este medio extendemos nuestro aval y plena garantía, conforme a la IAO 29 de las Condiciones Generales del Contrato, respecto de los Bienes ofrecidos por la firma antes mencionada.</w:t>
      </w:r>
    </w:p>
    <w:p>
      <w:pPr>
        <w:jc w:val="both"/>
        <w:rPr>
          <w:sz w:val="22"/>
          <w:szCs w:val="22"/>
          <w:lang w:val="es-ES"/>
        </w:rPr>
      </w:pPr>
    </w:p>
    <w:p>
      <w:pPr>
        <w:jc w:val="both"/>
        <w:rPr>
          <w:sz w:val="22"/>
          <w:szCs w:val="22"/>
          <w:lang w:val="es-ES"/>
        </w:rPr>
      </w:pPr>
      <w:r>
        <w:rPr>
          <w:sz w:val="22"/>
          <w:szCs w:val="22"/>
          <w:lang w:val="es-ES"/>
        </w:rPr>
        <w:t xml:space="preserve">Firma: </w:t>
      </w:r>
      <w:r>
        <w:rPr>
          <w:i/>
          <w:iCs/>
          <w:sz w:val="22"/>
          <w:szCs w:val="22"/>
          <w:lang w:val="es-ES"/>
        </w:rPr>
        <w:t xml:space="preserve">[indique firma de los representantes autorizados del Fabricante]. </w:t>
      </w:r>
    </w:p>
    <w:p>
      <w:pPr>
        <w:rPr>
          <w:sz w:val="22"/>
          <w:szCs w:val="22"/>
          <w:lang w:val="es-ES"/>
        </w:rPr>
      </w:pPr>
    </w:p>
    <w:p>
      <w:pPr>
        <w:rPr>
          <w:sz w:val="22"/>
          <w:szCs w:val="22"/>
          <w:lang w:val="es-ES"/>
        </w:rPr>
      </w:pPr>
    </w:p>
    <w:p>
      <w:pPr>
        <w:rPr>
          <w:sz w:val="22"/>
          <w:szCs w:val="22"/>
          <w:lang w:val="es-ES"/>
        </w:rPr>
      </w:pPr>
      <w:r>
        <w:rPr>
          <w:sz w:val="22"/>
          <w:szCs w:val="22"/>
          <w:lang w:val="es-ES"/>
        </w:rPr>
        <w:t xml:space="preserve">Nombre: </w:t>
      </w:r>
      <w:r>
        <w:rPr>
          <w:i/>
          <w:iCs/>
          <w:sz w:val="22"/>
          <w:szCs w:val="22"/>
          <w:lang w:val="es-ES"/>
        </w:rPr>
        <w:t>[indique el nombre completo de los representantes autorizados del Fabricante]</w:t>
      </w:r>
      <w:r>
        <w:rPr>
          <w:sz w:val="22"/>
          <w:szCs w:val="22"/>
          <w:lang w:val="es-ES"/>
        </w:rPr>
        <w:t>.</w:t>
      </w:r>
    </w:p>
    <w:p>
      <w:pPr>
        <w:rPr>
          <w:sz w:val="22"/>
          <w:szCs w:val="22"/>
          <w:lang w:val="es-ES"/>
        </w:rPr>
      </w:pPr>
    </w:p>
    <w:p>
      <w:pPr>
        <w:rPr>
          <w:sz w:val="22"/>
          <w:szCs w:val="22"/>
          <w:lang w:val="es-ES"/>
        </w:rPr>
      </w:pPr>
      <w:r>
        <w:rPr>
          <w:sz w:val="22"/>
          <w:szCs w:val="22"/>
          <w:lang w:val="es-ES"/>
        </w:rPr>
        <w:t>Cargo:</w:t>
      </w:r>
      <w:r>
        <w:rPr>
          <w:i/>
          <w:iCs/>
          <w:sz w:val="22"/>
          <w:szCs w:val="22"/>
          <w:lang w:val="es-ES"/>
        </w:rPr>
        <w:t xml:space="preserve"> [indique el cargo].</w:t>
      </w:r>
    </w:p>
    <w:p>
      <w:pPr>
        <w:rPr>
          <w:sz w:val="22"/>
          <w:szCs w:val="22"/>
          <w:lang w:val="es-ES"/>
        </w:rPr>
      </w:pPr>
    </w:p>
    <w:p>
      <w:pPr>
        <w:rPr>
          <w:i/>
          <w:sz w:val="22"/>
          <w:szCs w:val="22"/>
          <w:lang w:val="es-ES"/>
        </w:rPr>
      </w:pPr>
    </w:p>
    <w:p>
      <w:pPr>
        <w:rPr>
          <w:sz w:val="22"/>
          <w:szCs w:val="22"/>
          <w:lang w:val="es-ES"/>
        </w:rPr>
      </w:pPr>
    </w:p>
    <w:p>
      <w:pPr>
        <w:rPr>
          <w:sz w:val="22"/>
          <w:szCs w:val="22"/>
          <w:lang w:val="es-ES"/>
        </w:rPr>
      </w:pPr>
      <w:r>
        <w:rPr>
          <w:sz w:val="22"/>
          <w:szCs w:val="22"/>
          <w:lang w:val="es-ES"/>
        </w:rPr>
        <w:t xml:space="preserve">Fechado el día ____________ de __________________del año _______ </w:t>
      </w:r>
      <w:r>
        <w:rPr>
          <w:i/>
          <w:iCs/>
          <w:sz w:val="22"/>
          <w:szCs w:val="22"/>
          <w:lang w:val="es-ES"/>
        </w:rPr>
        <w:t>[fecha de la firma].</w:t>
      </w:r>
    </w:p>
    <w:p>
      <w:pPr>
        <w:suppressAutoHyphens/>
        <w:rPr>
          <w:sz w:val="22"/>
          <w:szCs w:val="22"/>
          <w:lang w:val="es-ES"/>
        </w:rPr>
      </w:pPr>
      <w:bookmarkStart w:id="718" w:name="_Toc482500892"/>
    </w:p>
    <w:p>
      <w:pPr>
        <w:suppressAutoHyphens/>
        <w:rPr>
          <w:lang w:val="es-ES"/>
        </w:rPr>
        <w:sectPr>
          <w:headerReference w:type="even" r:id="rId40"/>
          <w:footnotePr>
            <w:numRestart w:val="eachSect"/>
          </w:footnotePr>
          <w:type w:val="continuous"/>
          <w:pgSz w:w="11906" w:h="16838" w:code="9"/>
          <w:pgMar w:top="1440" w:right="1440" w:bottom="1440" w:left="1440" w:header="720" w:footer="720" w:gutter="0"/>
          <w:paperSrc w:first="15" w:other="15"/>
          <w:cols w:space="720"/>
          <w:noEndnote/>
          <w:docGrid w:linePitch="326"/>
        </w:sectPr>
      </w:pPr>
    </w:p>
    <w:p>
      <w:pPr>
        <w:pStyle w:val="Partes"/>
        <w:rPr>
          <w:rFonts w:ascii="Times New Roman" w:hAnsi="Times New Roman"/>
          <w:lang w:val="es-ES"/>
        </w:rPr>
      </w:pPr>
      <w:bookmarkStart w:id="719" w:name="_Toc450041032"/>
      <w:bookmarkStart w:id="720" w:name="_Toc175256926"/>
      <w:bookmarkEnd w:id="718"/>
      <w:r>
        <w:rPr>
          <w:rFonts w:ascii="Times New Roman" w:hAnsi="Times New Roman"/>
        </w:rPr>
        <w:lastRenderedPageBreak/>
        <w:t xml:space="preserve">SEGUNDA PARTE. Requisitos </w:t>
      </w:r>
      <w:bookmarkEnd w:id="719"/>
      <w:r>
        <w:rPr>
          <w:rFonts w:ascii="Times New Roman" w:hAnsi="Times New Roman"/>
        </w:rPr>
        <w:t>de los Bienes y Servicios Conexos</w:t>
      </w:r>
      <w:bookmarkEnd w:id="720"/>
    </w:p>
    <w:p>
      <w:pPr>
        <w:pStyle w:val="Subttulo"/>
        <w:ind w:left="180" w:right="288"/>
        <w:rPr>
          <w:lang w:val="es-ES"/>
        </w:rPr>
      </w:pPr>
    </w:p>
    <w:p>
      <w:pPr>
        <w:pStyle w:val="Secciones"/>
        <w:rPr>
          <w:rFonts w:ascii="Times New Roman" w:hAnsi="Times New Roman"/>
        </w:rPr>
      </w:pPr>
      <w:bookmarkStart w:id="721" w:name="_Toc450041033"/>
      <w:bookmarkStart w:id="722" w:name="_Toc175256927"/>
      <w:r>
        <w:rPr>
          <w:rFonts w:ascii="Times New Roman" w:hAnsi="Times New Roman"/>
        </w:rPr>
        <w:t>Sección VI. Requisitos de los Bienes y Servicios Conexos</w:t>
      </w:r>
      <w:bookmarkEnd w:id="721"/>
      <w:bookmarkEnd w:id="722"/>
    </w:p>
    <w:p>
      <w:pPr>
        <w:pStyle w:val="Sangradetextonormal"/>
        <w:ind w:left="180" w:right="288"/>
        <w:rPr>
          <w:rFonts w:ascii="Times New Roman" w:hAnsi="Times New Roman" w:cs="Times New Roman"/>
          <w:lang w:val="es-ES"/>
        </w:rPr>
      </w:pPr>
    </w:p>
    <w:p>
      <w:pPr>
        <w:pStyle w:val="Sangradetextonormal"/>
        <w:ind w:left="180" w:right="288"/>
        <w:rPr>
          <w:rFonts w:ascii="Times New Roman" w:hAnsi="Times New Roman" w:cs="Times New Roman"/>
          <w:u w:val="single"/>
          <w:lang w:val="es-ES"/>
        </w:rPr>
      </w:pPr>
    </w:p>
    <w:p>
      <w:pPr>
        <w:jc w:val="center"/>
        <w:rPr>
          <w:b/>
          <w:sz w:val="28"/>
          <w:szCs w:val="28"/>
          <w:lang w:val="es-ES"/>
        </w:rPr>
      </w:pPr>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r>
        <w:rPr>
          <w:rFonts w:ascii="Times New Roman" w:hAnsi="Times New Roman"/>
          <w:b w:val="0"/>
          <w:sz w:val="28"/>
          <w:szCs w:val="28"/>
          <w:lang w:val="es-ES"/>
        </w:rPr>
        <w:fldChar w:fldCharType="begin"/>
      </w:r>
      <w:r>
        <w:rPr>
          <w:rFonts w:ascii="Times New Roman" w:hAnsi="Times New Roman"/>
          <w:b w:val="0"/>
          <w:sz w:val="28"/>
          <w:szCs w:val="28"/>
          <w:lang w:val="es-ES"/>
        </w:rPr>
        <w:instrText xml:space="preserve"> TOC \h \z \t "Requisitos;1" </w:instrText>
      </w:r>
      <w:r>
        <w:rPr>
          <w:rFonts w:ascii="Times New Roman" w:hAnsi="Times New Roman"/>
          <w:b w:val="0"/>
          <w:sz w:val="28"/>
          <w:szCs w:val="28"/>
          <w:lang w:val="es-ES"/>
        </w:rPr>
        <w:fldChar w:fldCharType="separate"/>
      </w:r>
      <w:hyperlink w:anchor="_Toc175251321" w:history="1">
        <w:r>
          <w:rPr>
            <w:rStyle w:val="Hipervnculo"/>
            <w:rFonts w:ascii="Times New Roman" w:hAnsi="Times New Roman"/>
            <w:noProof/>
          </w:rPr>
          <w:t>Notas para la Preparación de los Requisitos de los Bienes y Servicios Conexos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_Toc175251321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74</w:t>
        </w:r>
        <w:r>
          <w:rPr>
            <w:rFonts w:ascii="Times New Roman" w:hAnsi="Times New Roman"/>
            <w:noProof/>
            <w:webHidden/>
          </w:rPr>
          <w:fldChar w:fldCharType="end"/>
        </w:r>
      </w:hyperlink>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hyperlink w:anchor="_Toc175251322" w:history="1">
        <w:r>
          <w:rPr>
            <w:rStyle w:val="Hipervnculo"/>
            <w:rFonts w:ascii="Times New Roman" w:hAnsi="Times New Roman"/>
            <w:noProof/>
          </w:rPr>
          <w:t>1. Lista de Bienes y Cronograma de Entregas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_Toc175251322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75</w:t>
        </w:r>
        <w:r>
          <w:rPr>
            <w:rFonts w:ascii="Times New Roman" w:hAnsi="Times New Roman"/>
            <w:noProof/>
            <w:webHidden/>
          </w:rPr>
          <w:fldChar w:fldCharType="end"/>
        </w:r>
      </w:hyperlink>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hyperlink w:anchor="_Toc175251323" w:history="1">
        <w:r>
          <w:rPr>
            <w:rStyle w:val="Hipervnculo"/>
            <w:rFonts w:ascii="Times New Roman" w:hAnsi="Times New Roman"/>
            <w:noProof/>
          </w:rPr>
          <w:t>2. Lista de Servicios Conexos y Cronograma de Cumplimiento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_Toc175251323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76</w:t>
        </w:r>
        <w:r>
          <w:rPr>
            <w:rFonts w:ascii="Times New Roman" w:hAnsi="Times New Roman"/>
            <w:noProof/>
            <w:webHidden/>
          </w:rPr>
          <w:fldChar w:fldCharType="end"/>
        </w:r>
      </w:hyperlink>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hyperlink w:anchor="_Toc175251324" w:history="1">
        <w:r>
          <w:rPr>
            <w:rStyle w:val="Hipervnculo"/>
            <w:rFonts w:ascii="Times New Roman" w:hAnsi="Times New Roman"/>
            <w:noProof/>
          </w:rPr>
          <w:t>3. Especificaciones Técnicas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_Toc175251324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77</w:t>
        </w:r>
        <w:r>
          <w:rPr>
            <w:rFonts w:ascii="Times New Roman" w:hAnsi="Times New Roman"/>
            <w:noProof/>
            <w:webHidden/>
          </w:rPr>
          <w:fldChar w:fldCharType="end"/>
        </w:r>
      </w:hyperlink>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hyperlink w:anchor="_Toc175251325" w:history="1">
        <w:r>
          <w:rPr>
            <w:rStyle w:val="Hipervnculo"/>
            <w:rFonts w:ascii="Times New Roman" w:hAnsi="Times New Roman"/>
            <w:noProof/>
          </w:rPr>
          <w:t>4. Planos o Diseños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_Toc175251325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80</w:t>
        </w:r>
        <w:r>
          <w:rPr>
            <w:rFonts w:ascii="Times New Roman" w:hAnsi="Times New Roman"/>
            <w:noProof/>
            <w:webHidden/>
          </w:rPr>
          <w:fldChar w:fldCharType="end"/>
        </w:r>
      </w:hyperlink>
    </w:p>
    <w:p>
      <w:pPr>
        <w:pStyle w:val="TDC1"/>
        <w:tabs>
          <w:tab w:val="right" w:leader="dot" w:pos="8656"/>
        </w:tabs>
        <w:rPr>
          <w:rFonts w:ascii="Times New Roman" w:eastAsiaTheme="minorEastAsia" w:hAnsi="Times New Roman"/>
          <w:b w:val="0"/>
          <w:noProof/>
          <w:kern w:val="2"/>
          <w:sz w:val="24"/>
          <w:lang w:val="es-EC" w:eastAsia="es-EC"/>
          <w14:ligatures w14:val="standardContextual"/>
        </w:rPr>
      </w:pPr>
      <w:hyperlink w:anchor="_Toc175251326" w:history="1">
        <w:r>
          <w:rPr>
            <w:rStyle w:val="Hipervnculo"/>
            <w:rFonts w:ascii="Times New Roman" w:hAnsi="Times New Roman"/>
            <w:noProof/>
          </w:rPr>
          <w:t>5. Inspecciones y Pruebas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_Toc175251326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81</w:t>
        </w:r>
        <w:r>
          <w:rPr>
            <w:rFonts w:ascii="Times New Roman" w:hAnsi="Times New Roman"/>
            <w:noProof/>
            <w:webHidden/>
          </w:rPr>
          <w:fldChar w:fldCharType="end"/>
        </w:r>
      </w:hyperlink>
    </w:p>
    <w:p>
      <w:pPr>
        <w:jc w:val="center"/>
        <w:rPr>
          <w:lang w:val="es-ES"/>
        </w:rPr>
      </w:pPr>
      <w:r>
        <w:rPr>
          <w:b/>
          <w:sz w:val="28"/>
          <w:szCs w:val="28"/>
          <w:lang w:val="es-ES"/>
        </w:rPr>
        <w:fldChar w:fldCharType="end"/>
      </w:r>
    </w:p>
    <w:p>
      <w:pPr>
        <w:pStyle w:val="S6-Header1"/>
        <w:rPr>
          <w:rFonts w:cs="Times New Roman"/>
          <w:lang w:val="es-ES"/>
        </w:rPr>
      </w:pPr>
      <w:r>
        <w:rPr>
          <w:rFonts w:cs="Times New Roman"/>
          <w:lang w:val="es-ES"/>
        </w:rPr>
        <w:br w:type="page"/>
      </w:r>
      <w:bookmarkStart w:id="723" w:name="_Toc23233012"/>
      <w:bookmarkStart w:id="724" w:name="_Toc23238061"/>
      <w:bookmarkStart w:id="725" w:name="_Toc41971552"/>
      <w:bookmarkStart w:id="726" w:name="_Toc73867681"/>
      <w:bookmarkStart w:id="727" w:name="_Toc78273063"/>
      <w:bookmarkStart w:id="728" w:name="_Toc437253098"/>
      <w:bookmarkStart w:id="729" w:name="_Toc168299702"/>
    </w:p>
    <w:p>
      <w:pPr>
        <w:pStyle w:val="Sub-ClauseText"/>
        <w:spacing w:before="0" w:after="0"/>
        <w:jc w:val="left"/>
        <w:rPr>
          <w:spacing w:val="0"/>
          <w:lang w:val="es-ES"/>
        </w:rPr>
        <w:sectPr>
          <w:headerReference w:type="even" r:id="rId41"/>
          <w:headerReference w:type="default" r:id="rId42"/>
          <w:headerReference w:type="first" r:id="rId43"/>
          <w:pgSz w:w="11906" w:h="16838" w:code="9"/>
          <w:pgMar w:top="1440" w:right="1440" w:bottom="1440" w:left="1800" w:header="720" w:footer="720" w:gutter="0"/>
          <w:paperSrc w:first="15" w:other="15"/>
          <w:pgNumType w:chapStyle="1"/>
          <w:cols w:space="720"/>
          <w:titlePg/>
        </w:sectPr>
      </w:pPr>
    </w:p>
    <w:p>
      <w:pPr>
        <w:pStyle w:val="Textonotapie"/>
        <w:tabs>
          <w:tab w:val="left" w:pos="3420"/>
        </w:tabs>
        <w:jc w:val="center"/>
        <w:rPr>
          <w:sz w:val="24"/>
          <w:szCs w:val="24"/>
          <w:lang w:val="es-ES"/>
        </w:rPr>
      </w:pPr>
      <w:r>
        <w:rPr>
          <w:b/>
          <w:spacing w:val="-3"/>
          <w:sz w:val="24"/>
          <w:szCs w:val="24"/>
          <w:lang w:val="es-ES_tradnl"/>
        </w:rPr>
        <w:lastRenderedPageBreak/>
        <w:t>1. LISTA DE CANTIDADES</w:t>
      </w:r>
    </w:p>
    <w:p>
      <w:pPr>
        <w:keepNext/>
        <w:keepLines/>
        <w:jc w:val="both"/>
        <w:rPr>
          <w:spacing w:val="-3"/>
          <w:sz w:val="22"/>
          <w:szCs w:val="22"/>
          <w:lang w:val="es-ES_tradnl"/>
        </w:rPr>
      </w:pPr>
    </w:p>
    <w:p>
      <w:pPr>
        <w:keepNext/>
        <w:keepLines/>
        <w:jc w:val="both"/>
        <w:rPr>
          <w:spacing w:val="-3"/>
          <w:sz w:val="22"/>
          <w:szCs w:val="22"/>
          <w:lang w:val="es-ES_tradnl"/>
        </w:rPr>
      </w:pPr>
      <w:r>
        <w:rPr>
          <w:spacing w:val="-3"/>
          <w:sz w:val="22"/>
          <w:szCs w:val="22"/>
          <w:lang w:val="es-ES_tradnl"/>
        </w:rPr>
        <w:t>El oferente debe presentar los análisis de Preciso Unitarios en el presente proceso.</w:t>
      </w:r>
    </w:p>
    <w:p>
      <w:pPr>
        <w:keepNext/>
        <w:keepLines/>
        <w:jc w:val="both"/>
        <w:rPr>
          <w:spacing w:val="-3"/>
          <w:sz w:val="22"/>
          <w:szCs w:val="22"/>
          <w:lang w:val="es-ES_tradnl"/>
        </w:rPr>
      </w:pPr>
    </w:p>
    <w:p>
      <w:pPr>
        <w:keepNext/>
        <w:keepLines/>
        <w:jc w:val="both"/>
        <w:rPr>
          <w:spacing w:val="-3"/>
          <w:sz w:val="22"/>
          <w:szCs w:val="22"/>
          <w:lang w:val="es-ES_tradnl"/>
        </w:rPr>
      </w:pPr>
      <w:r>
        <w:rPr>
          <w:spacing w:val="-3"/>
          <w:sz w:val="22"/>
          <w:szCs w:val="22"/>
          <w:lang w:val="es-ES_tradnl"/>
        </w:rPr>
        <w:t xml:space="preserve">En caso de requerirse, </w:t>
      </w:r>
      <w:r>
        <w:rPr>
          <w:b/>
          <w:spacing w:val="-3"/>
          <w:sz w:val="22"/>
          <w:szCs w:val="22"/>
          <w:lang w:val="es-ES_tradnl"/>
        </w:rPr>
        <w:t xml:space="preserve">esta información servirá únicamente como referencia para el oferente </w:t>
      </w:r>
      <w:r>
        <w:rPr>
          <w:spacing w:val="-3"/>
          <w:sz w:val="22"/>
          <w:szCs w:val="22"/>
          <w:lang w:val="es-ES_tradnl"/>
        </w:rPr>
        <w:t>quiene debe plantear su propuesta.</w:t>
      </w:r>
    </w:p>
    <w:p>
      <w:pPr>
        <w:keepNext/>
        <w:keepLines/>
        <w:jc w:val="both"/>
        <w:rPr>
          <w:spacing w:val="-3"/>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7975"/>
        <w:gridCol w:w="1096"/>
        <w:gridCol w:w="1403"/>
        <w:gridCol w:w="1414"/>
        <w:gridCol w:w="1071"/>
      </w:tblGrid>
      <w:tr>
        <w:trPr>
          <w:trHeight w:val="740"/>
        </w:trPr>
        <w:tc>
          <w:tcPr>
            <w:tcW w:w="354" w:type="pct"/>
            <w:shd w:val="clear" w:color="auto" w:fill="auto"/>
            <w:noWrap/>
            <w:vAlign w:val="center"/>
            <w:hideMark/>
          </w:tcPr>
          <w:p>
            <w:pPr>
              <w:jc w:val="center"/>
              <w:rPr>
                <w:b/>
                <w:bCs/>
                <w:color w:val="000000"/>
                <w:sz w:val="20"/>
                <w:szCs w:val="22"/>
              </w:rPr>
            </w:pPr>
            <w:r>
              <w:rPr>
                <w:b/>
                <w:bCs/>
                <w:color w:val="000000"/>
                <w:sz w:val="20"/>
                <w:szCs w:val="22"/>
              </w:rPr>
              <w:t>N.°de artículo</w:t>
            </w:r>
          </w:p>
        </w:tc>
        <w:tc>
          <w:tcPr>
            <w:tcW w:w="2859" w:type="pct"/>
            <w:shd w:val="clear" w:color="auto" w:fill="auto"/>
            <w:noWrap/>
            <w:vAlign w:val="center"/>
            <w:hideMark/>
          </w:tcPr>
          <w:p>
            <w:pPr>
              <w:jc w:val="center"/>
              <w:rPr>
                <w:b/>
                <w:bCs/>
                <w:color w:val="000000"/>
                <w:sz w:val="20"/>
                <w:szCs w:val="22"/>
              </w:rPr>
            </w:pPr>
            <w:r>
              <w:rPr>
                <w:b/>
                <w:bCs/>
                <w:color w:val="000000"/>
                <w:sz w:val="20"/>
                <w:szCs w:val="22"/>
              </w:rPr>
              <w:t>DESCRIPCION</w:t>
            </w:r>
          </w:p>
        </w:tc>
        <w:tc>
          <w:tcPr>
            <w:tcW w:w="393" w:type="pct"/>
            <w:shd w:val="clear" w:color="auto" w:fill="auto"/>
            <w:noWrap/>
            <w:vAlign w:val="center"/>
            <w:hideMark/>
          </w:tcPr>
          <w:p>
            <w:pPr>
              <w:jc w:val="center"/>
              <w:rPr>
                <w:b/>
                <w:bCs/>
                <w:color w:val="000000"/>
                <w:sz w:val="20"/>
                <w:szCs w:val="22"/>
              </w:rPr>
            </w:pPr>
            <w:r>
              <w:rPr>
                <w:b/>
                <w:bCs/>
                <w:color w:val="000000"/>
                <w:sz w:val="20"/>
                <w:szCs w:val="22"/>
              </w:rPr>
              <w:t>UNIDAD</w:t>
            </w:r>
          </w:p>
        </w:tc>
        <w:tc>
          <w:tcPr>
            <w:tcW w:w="503" w:type="pct"/>
            <w:shd w:val="clear" w:color="auto" w:fill="auto"/>
            <w:vAlign w:val="center"/>
            <w:hideMark/>
          </w:tcPr>
          <w:p>
            <w:pPr>
              <w:jc w:val="center"/>
              <w:rPr>
                <w:b/>
                <w:bCs/>
                <w:color w:val="000000"/>
                <w:sz w:val="20"/>
                <w:szCs w:val="22"/>
              </w:rPr>
            </w:pPr>
            <w:r>
              <w:rPr>
                <w:b/>
                <w:bCs/>
                <w:color w:val="000000"/>
                <w:sz w:val="20"/>
                <w:szCs w:val="22"/>
              </w:rPr>
              <w:t>CANTIDAD</w:t>
            </w:r>
            <w:r>
              <w:rPr>
                <w:b/>
                <w:bCs/>
                <w:color w:val="000000"/>
                <w:sz w:val="20"/>
                <w:szCs w:val="22"/>
              </w:rPr>
              <w:br/>
            </w:r>
            <w:r>
              <w:rPr>
                <w:color w:val="000000"/>
                <w:sz w:val="20"/>
                <w:szCs w:val="22"/>
              </w:rPr>
              <w:t>(a)</w:t>
            </w:r>
          </w:p>
        </w:tc>
        <w:tc>
          <w:tcPr>
            <w:tcW w:w="507" w:type="pct"/>
            <w:shd w:val="clear" w:color="auto" w:fill="auto"/>
            <w:vAlign w:val="center"/>
            <w:hideMark/>
          </w:tcPr>
          <w:p>
            <w:pPr>
              <w:jc w:val="center"/>
              <w:rPr>
                <w:b/>
                <w:bCs/>
                <w:color w:val="000000"/>
                <w:sz w:val="20"/>
                <w:szCs w:val="22"/>
              </w:rPr>
            </w:pPr>
            <w:r>
              <w:rPr>
                <w:b/>
                <w:bCs/>
                <w:color w:val="000000"/>
                <w:sz w:val="20"/>
                <w:szCs w:val="22"/>
              </w:rPr>
              <w:t>PRECIO</w:t>
            </w:r>
            <w:r>
              <w:rPr>
                <w:b/>
                <w:bCs/>
                <w:color w:val="000000"/>
                <w:sz w:val="20"/>
                <w:szCs w:val="22"/>
              </w:rPr>
              <w:br/>
              <w:t>UNITARIO</w:t>
            </w:r>
            <w:r>
              <w:rPr>
                <w:b/>
                <w:bCs/>
                <w:color w:val="000000"/>
                <w:sz w:val="20"/>
                <w:szCs w:val="22"/>
              </w:rPr>
              <w:br/>
            </w:r>
            <w:r>
              <w:rPr>
                <w:color w:val="000000"/>
                <w:sz w:val="20"/>
                <w:szCs w:val="22"/>
              </w:rPr>
              <w:t>(b)</w:t>
            </w:r>
          </w:p>
        </w:tc>
        <w:tc>
          <w:tcPr>
            <w:tcW w:w="384" w:type="pct"/>
            <w:shd w:val="clear" w:color="auto" w:fill="auto"/>
            <w:vAlign w:val="center"/>
            <w:hideMark/>
          </w:tcPr>
          <w:p>
            <w:pPr>
              <w:jc w:val="center"/>
              <w:rPr>
                <w:b/>
                <w:bCs/>
                <w:color w:val="000000"/>
                <w:sz w:val="20"/>
                <w:szCs w:val="22"/>
              </w:rPr>
            </w:pPr>
            <w:r>
              <w:rPr>
                <w:b/>
                <w:bCs/>
                <w:color w:val="000000"/>
                <w:sz w:val="20"/>
                <w:szCs w:val="22"/>
              </w:rPr>
              <w:t>PRECIO</w:t>
            </w:r>
            <w:r>
              <w:rPr>
                <w:b/>
                <w:bCs/>
                <w:color w:val="000000"/>
                <w:sz w:val="20"/>
                <w:szCs w:val="22"/>
              </w:rPr>
              <w:br/>
              <w:t>TOTAL</w:t>
            </w:r>
            <w:r>
              <w:rPr>
                <w:b/>
                <w:bCs/>
                <w:color w:val="000000"/>
                <w:sz w:val="20"/>
                <w:szCs w:val="22"/>
              </w:rPr>
              <w:br/>
            </w:r>
            <w:r>
              <w:rPr>
                <w:color w:val="000000"/>
                <w:sz w:val="20"/>
                <w:szCs w:val="22"/>
              </w:rPr>
              <w:t xml:space="preserve">(c) </w:t>
            </w:r>
          </w:p>
        </w:tc>
      </w:tr>
      <w:tr>
        <w:trPr>
          <w:trHeight w:val="210"/>
        </w:trPr>
        <w:tc>
          <w:tcPr>
            <w:tcW w:w="354" w:type="pct"/>
            <w:shd w:val="clear" w:color="auto" w:fill="auto"/>
            <w:vAlign w:val="bottom"/>
            <w:hideMark/>
          </w:tcPr>
          <w:p>
            <w:pPr>
              <w:jc w:val="center"/>
              <w:rPr>
                <w:color w:val="000000"/>
                <w:sz w:val="20"/>
                <w:szCs w:val="22"/>
              </w:rPr>
            </w:pPr>
            <w:r>
              <w:rPr>
                <w:color w:val="000000"/>
                <w:sz w:val="20"/>
                <w:szCs w:val="22"/>
              </w:rPr>
              <w:t>1</w:t>
            </w:r>
          </w:p>
        </w:tc>
        <w:tc>
          <w:tcPr>
            <w:tcW w:w="2859" w:type="pct"/>
            <w:shd w:val="clear" w:color="auto" w:fill="auto"/>
            <w:vAlign w:val="bottom"/>
          </w:tcPr>
          <w:p>
            <w:pPr>
              <w:pStyle w:val="TableParagraph"/>
              <w:tabs>
                <w:tab w:val="left" w:pos="1471"/>
                <w:tab w:val="left" w:pos="2029"/>
              </w:tabs>
              <w:ind w:right="129"/>
              <w:jc w:val="both"/>
              <w:rPr>
                <w:rFonts w:cs="Times New Roman"/>
                <w:b/>
                <w:spacing w:val="-2"/>
                <w:sz w:val="20"/>
              </w:rPr>
            </w:pPr>
            <w:r>
              <w:rPr>
                <w:rFonts w:cs="Times New Roman"/>
                <w:b/>
                <w:spacing w:val="-2"/>
                <w:sz w:val="20"/>
              </w:rPr>
              <w:t>Un taller presencial (curso intensivo de Comunicación Estratégica Digital) dirigido a los miembros de la Unidad</w:t>
            </w:r>
            <w:r>
              <w:rPr>
                <w:rFonts w:cs="Times New Roman"/>
                <w:b/>
                <w:spacing w:val="-2"/>
                <w:sz w:val="20"/>
              </w:rPr>
              <w:tab/>
              <w:t>de Comunicación Social de la Procuraduría General del Estado, al inicio del curso. Clase presencial: 8 horas académicas</w:t>
            </w:r>
          </w:p>
          <w:p>
            <w:pPr>
              <w:rPr>
                <w:b/>
                <w:color w:val="000000"/>
                <w:sz w:val="20"/>
                <w:szCs w:val="22"/>
              </w:rPr>
            </w:pPr>
          </w:p>
          <w:p>
            <w:pPr>
              <w:pStyle w:val="TableParagraph"/>
              <w:ind w:right="150"/>
              <w:jc w:val="both"/>
              <w:rPr>
                <w:rFonts w:cs="Times New Roman"/>
                <w:sz w:val="20"/>
              </w:rPr>
            </w:pPr>
            <w:r>
              <w:rPr>
                <w:rFonts w:cs="Times New Roman"/>
                <w:sz w:val="20"/>
              </w:rPr>
              <w:t>Servicio</w:t>
            </w:r>
            <w:r>
              <w:rPr>
                <w:rFonts w:cs="Times New Roman"/>
                <w:spacing w:val="-11"/>
                <w:sz w:val="20"/>
              </w:rPr>
              <w:t xml:space="preserve"> </w:t>
            </w:r>
            <w:r>
              <w:rPr>
                <w:rFonts w:cs="Times New Roman"/>
                <w:sz w:val="20"/>
              </w:rPr>
              <w:t>de</w:t>
            </w:r>
            <w:r>
              <w:rPr>
                <w:rFonts w:cs="Times New Roman"/>
                <w:spacing w:val="-11"/>
                <w:sz w:val="20"/>
              </w:rPr>
              <w:t xml:space="preserve"> </w:t>
            </w:r>
            <w:r>
              <w:rPr>
                <w:rFonts w:cs="Times New Roman"/>
                <w:sz w:val="20"/>
              </w:rPr>
              <w:t>capacitación</w:t>
            </w:r>
            <w:r>
              <w:rPr>
                <w:rFonts w:cs="Times New Roman"/>
                <w:spacing w:val="-8"/>
                <w:sz w:val="20"/>
              </w:rPr>
              <w:t xml:space="preserve"> </w:t>
            </w:r>
            <w:r>
              <w:rPr>
                <w:rFonts w:cs="Times New Roman"/>
                <w:sz w:val="20"/>
              </w:rPr>
              <w:t>presencial</w:t>
            </w:r>
            <w:r>
              <w:rPr>
                <w:rFonts w:cs="Times New Roman"/>
                <w:spacing w:val="-9"/>
                <w:sz w:val="20"/>
              </w:rPr>
              <w:t xml:space="preserve"> </w:t>
            </w:r>
            <w:r>
              <w:rPr>
                <w:rFonts w:cs="Times New Roman"/>
                <w:sz w:val="20"/>
              </w:rPr>
              <w:t>con</w:t>
            </w:r>
            <w:r>
              <w:rPr>
                <w:rFonts w:cs="Times New Roman"/>
                <w:spacing w:val="-10"/>
                <w:sz w:val="20"/>
              </w:rPr>
              <w:t xml:space="preserve"> </w:t>
            </w:r>
            <w:r>
              <w:rPr>
                <w:rFonts w:cs="Times New Roman"/>
                <w:sz w:val="20"/>
              </w:rPr>
              <w:t>una</w:t>
            </w:r>
            <w:r>
              <w:rPr>
                <w:rFonts w:cs="Times New Roman"/>
                <w:spacing w:val="-10"/>
                <w:sz w:val="20"/>
              </w:rPr>
              <w:t xml:space="preserve"> </w:t>
            </w:r>
            <w:r>
              <w:rPr>
                <w:rFonts w:cs="Times New Roman"/>
                <w:sz w:val="20"/>
              </w:rPr>
              <w:t>duración</w:t>
            </w:r>
            <w:r>
              <w:rPr>
                <w:rFonts w:cs="Times New Roman"/>
                <w:spacing w:val="-10"/>
                <w:sz w:val="20"/>
              </w:rPr>
              <w:t xml:space="preserve"> </w:t>
            </w:r>
            <w:r>
              <w:rPr>
                <w:rFonts w:cs="Times New Roman"/>
                <w:sz w:val="20"/>
              </w:rPr>
              <w:t>de</w:t>
            </w:r>
            <w:r>
              <w:rPr>
                <w:rFonts w:cs="Times New Roman"/>
                <w:spacing w:val="-8"/>
                <w:sz w:val="20"/>
              </w:rPr>
              <w:t xml:space="preserve"> </w:t>
            </w:r>
            <w:r>
              <w:rPr>
                <w:rFonts w:cs="Times New Roman"/>
                <w:sz w:val="20"/>
              </w:rPr>
              <w:t>ocho</w:t>
            </w:r>
            <w:r>
              <w:rPr>
                <w:rFonts w:cs="Times New Roman"/>
                <w:spacing w:val="-11"/>
                <w:sz w:val="20"/>
              </w:rPr>
              <w:t xml:space="preserve"> </w:t>
            </w:r>
            <w:r>
              <w:rPr>
                <w:rFonts w:cs="Times New Roman"/>
                <w:sz w:val="20"/>
              </w:rPr>
              <w:t>(8) horas académicas en “</w:t>
            </w:r>
            <w:r>
              <w:rPr>
                <w:rFonts w:cs="Times New Roman"/>
                <w:i/>
                <w:sz w:val="20"/>
              </w:rPr>
              <w:t>Capacitación en herramientas de Comunicación”</w:t>
            </w:r>
            <w:r>
              <w:rPr>
                <w:rFonts w:cs="Times New Roman"/>
                <w:i/>
                <w:spacing w:val="-12"/>
                <w:sz w:val="20"/>
              </w:rPr>
              <w:t xml:space="preserve"> </w:t>
            </w:r>
            <w:r>
              <w:rPr>
                <w:rFonts w:cs="Times New Roman"/>
                <w:sz w:val="20"/>
              </w:rPr>
              <w:t>en</w:t>
            </w:r>
            <w:r>
              <w:rPr>
                <w:rFonts w:cs="Times New Roman"/>
                <w:spacing w:val="-12"/>
                <w:sz w:val="20"/>
              </w:rPr>
              <w:t xml:space="preserve"> </w:t>
            </w:r>
            <w:r>
              <w:rPr>
                <w:rFonts w:cs="Times New Roman"/>
                <w:sz w:val="20"/>
              </w:rPr>
              <w:t>Comunicación</w:t>
            </w:r>
            <w:r>
              <w:rPr>
                <w:rFonts w:cs="Times New Roman"/>
                <w:spacing w:val="-12"/>
                <w:sz w:val="20"/>
              </w:rPr>
              <w:t xml:space="preserve"> </w:t>
            </w:r>
            <w:r>
              <w:rPr>
                <w:rFonts w:cs="Times New Roman"/>
                <w:sz w:val="20"/>
              </w:rPr>
              <w:t>Estratégica</w:t>
            </w:r>
            <w:r>
              <w:rPr>
                <w:rFonts w:cs="Times New Roman"/>
                <w:spacing w:val="-12"/>
                <w:sz w:val="20"/>
              </w:rPr>
              <w:t xml:space="preserve"> </w:t>
            </w:r>
            <w:r>
              <w:rPr>
                <w:rFonts w:cs="Times New Roman"/>
                <w:sz w:val="20"/>
              </w:rPr>
              <w:t>Digital,</w:t>
            </w:r>
            <w:r>
              <w:rPr>
                <w:rFonts w:cs="Times New Roman"/>
                <w:spacing w:val="-12"/>
                <w:sz w:val="20"/>
              </w:rPr>
              <w:t xml:space="preserve"> </w:t>
            </w:r>
            <w:r>
              <w:rPr>
                <w:rFonts w:cs="Times New Roman"/>
                <w:sz w:val="20"/>
              </w:rPr>
              <w:t>dirigido</w:t>
            </w:r>
            <w:r>
              <w:rPr>
                <w:rFonts w:cs="Times New Roman"/>
                <w:spacing w:val="-11"/>
                <w:sz w:val="20"/>
              </w:rPr>
              <w:t xml:space="preserve"> </w:t>
            </w:r>
            <w:r>
              <w:rPr>
                <w:rFonts w:cs="Times New Roman"/>
                <w:sz w:val="20"/>
              </w:rPr>
              <w:t>a</w:t>
            </w:r>
            <w:r>
              <w:rPr>
                <w:rFonts w:cs="Times New Roman"/>
                <w:spacing w:val="-12"/>
                <w:sz w:val="20"/>
              </w:rPr>
              <w:t xml:space="preserve"> </w:t>
            </w:r>
            <w:r>
              <w:rPr>
                <w:rFonts w:cs="Times New Roman"/>
                <w:sz w:val="20"/>
              </w:rPr>
              <w:t>los miembros de la Unidad de Comunicación Social de la Procuraduría</w:t>
            </w:r>
            <w:r>
              <w:rPr>
                <w:rFonts w:cs="Times New Roman"/>
                <w:spacing w:val="-4"/>
                <w:sz w:val="20"/>
              </w:rPr>
              <w:t xml:space="preserve"> </w:t>
            </w:r>
            <w:r>
              <w:rPr>
                <w:rFonts w:cs="Times New Roman"/>
                <w:sz w:val="20"/>
              </w:rPr>
              <w:t>General</w:t>
            </w:r>
            <w:r>
              <w:rPr>
                <w:rFonts w:cs="Times New Roman"/>
                <w:spacing w:val="-4"/>
                <w:sz w:val="20"/>
              </w:rPr>
              <w:t xml:space="preserve"> </w:t>
            </w:r>
            <w:r>
              <w:rPr>
                <w:rFonts w:cs="Times New Roman"/>
                <w:sz w:val="20"/>
              </w:rPr>
              <w:t>del</w:t>
            </w:r>
            <w:r>
              <w:rPr>
                <w:rFonts w:cs="Times New Roman"/>
                <w:spacing w:val="-7"/>
                <w:sz w:val="20"/>
              </w:rPr>
              <w:t xml:space="preserve"> </w:t>
            </w:r>
            <w:r>
              <w:rPr>
                <w:rFonts w:cs="Times New Roman"/>
                <w:sz w:val="20"/>
              </w:rPr>
              <w:t>Estado.</w:t>
            </w:r>
            <w:r>
              <w:rPr>
                <w:rFonts w:cs="Times New Roman"/>
                <w:spacing w:val="-4"/>
                <w:sz w:val="20"/>
              </w:rPr>
              <w:t xml:space="preserve"> </w:t>
            </w:r>
            <w:r>
              <w:rPr>
                <w:rFonts w:cs="Times New Roman"/>
                <w:sz w:val="20"/>
              </w:rPr>
              <w:t>En</w:t>
            </w:r>
            <w:r>
              <w:rPr>
                <w:rFonts w:cs="Times New Roman"/>
                <w:spacing w:val="-4"/>
                <w:sz w:val="20"/>
              </w:rPr>
              <w:t xml:space="preserve"> </w:t>
            </w:r>
            <w:r>
              <w:rPr>
                <w:rFonts w:cs="Times New Roman"/>
                <w:sz w:val="20"/>
              </w:rPr>
              <w:t>este</w:t>
            </w:r>
            <w:r>
              <w:rPr>
                <w:rFonts w:cs="Times New Roman"/>
                <w:spacing w:val="-4"/>
                <w:sz w:val="20"/>
              </w:rPr>
              <w:t xml:space="preserve"> </w:t>
            </w:r>
            <w:r>
              <w:rPr>
                <w:rFonts w:cs="Times New Roman"/>
                <w:sz w:val="20"/>
              </w:rPr>
              <w:t>taller,</w:t>
            </w:r>
            <w:r>
              <w:rPr>
                <w:rFonts w:cs="Times New Roman"/>
                <w:spacing w:val="-7"/>
                <w:sz w:val="20"/>
              </w:rPr>
              <w:t xml:space="preserve"> </w:t>
            </w:r>
            <w:r>
              <w:rPr>
                <w:rFonts w:cs="Times New Roman"/>
                <w:sz w:val="20"/>
              </w:rPr>
              <w:t>se</w:t>
            </w:r>
            <w:r>
              <w:rPr>
                <w:rFonts w:cs="Times New Roman"/>
                <w:spacing w:val="-4"/>
                <w:sz w:val="20"/>
              </w:rPr>
              <w:t xml:space="preserve"> </w:t>
            </w:r>
            <w:r>
              <w:rPr>
                <w:rFonts w:cs="Times New Roman"/>
                <w:sz w:val="20"/>
              </w:rPr>
              <w:t>abordarán</w:t>
            </w:r>
            <w:r>
              <w:rPr>
                <w:rFonts w:cs="Times New Roman"/>
                <w:spacing w:val="-4"/>
                <w:sz w:val="20"/>
              </w:rPr>
              <w:t xml:space="preserve"> </w:t>
            </w:r>
            <w:r>
              <w:rPr>
                <w:rFonts w:cs="Times New Roman"/>
                <w:sz w:val="20"/>
              </w:rPr>
              <w:t>los siguientes contenidos: Comunicación gubernamental, Comunicación política, Persuasión y Publicidad en medios digitales (campañas digitales), Gestión digital estratégica, gestión de crisis y en nuevos medios.</w:t>
            </w:r>
          </w:p>
          <w:p>
            <w:pPr>
              <w:pStyle w:val="TableParagraph"/>
              <w:rPr>
                <w:rFonts w:cs="Times New Roman"/>
                <w:b/>
                <w:sz w:val="20"/>
              </w:rPr>
            </w:pPr>
          </w:p>
          <w:p>
            <w:pPr>
              <w:rPr>
                <w:color w:val="000000"/>
                <w:sz w:val="20"/>
                <w:szCs w:val="22"/>
              </w:rPr>
            </w:pPr>
            <w:r>
              <w:rPr>
                <w:sz w:val="20"/>
                <w:szCs w:val="22"/>
              </w:rPr>
              <w:t>El</w:t>
            </w:r>
            <w:r>
              <w:rPr>
                <w:spacing w:val="-1"/>
                <w:sz w:val="20"/>
                <w:szCs w:val="22"/>
              </w:rPr>
              <w:t xml:space="preserve"> </w:t>
            </w:r>
            <w:r>
              <w:rPr>
                <w:sz w:val="20"/>
                <w:szCs w:val="22"/>
              </w:rPr>
              <w:t>taller</w:t>
            </w:r>
            <w:r>
              <w:rPr>
                <w:spacing w:val="-4"/>
                <w:sz w:val="20"/>
                <w:szCs w:val="22"/>
              </w:rPr>
              <w:t xml:space="preserve"> </w:t>
            </w:r>
            <w:r>
              <w:rPr>
                <w:sz w:val="20"/>
                <w:szCs w:val="22"/>
              </w:rPr>
              <w:t>se</w:t>
            </w:r>
            <w:r>
              <w:rPr>
                <w:spacing w:val="-2"/>
                <w:sz w:val="20"/>
                <w:szCs w:val="22"/>
              </w:rPr>
              <w:t xml:space="preserve"> </w:t>
            </w:r>
            <w:r>
              <w:rPr>
                <w:sz w:val="20"/>
                <w:szCs w:val="22"/>
              </w:rPr>
              <w:t>desarrollará en el lugar que proponga el Contratista previa autorización</w:t>
            </w:r>
            <w:r>
              <w:rPr>
                <w:spacing w:val="40"/>
                <w:sz w:val="20"/>
                <w:szCs w:val="22"/>
              </w:rPr>
              <w:t xml:space="preserve"> </w:t>
            </w:r>
            <w:r>
              <w:rPr>
                <w:sz w:val="20"/>
                <w:szCs w:val="22"/>
              </w:rPr>
              <w:t>del Administrador de Contrato.</w:t>
            </w:r>
          </w:p>
        </w:tc>
        <w:tc>
          <w:tcPr>
            <w:tcW w:w="393" w:type="pct"/>
            <w:vMerge w:val="restart"/>
            <w:shd w:val="clear" w:color="auto" w:fill="auto"/>
            <w:vAlign w:val="bottom"/>
          </w:tcPr>
          <w:p>
            <w:pPr>
              <w:rPr>
                <w:color w:val="000000"/>
                <w:sz w:val="20"/>
                <w:szCs w:val="22"/>
              </w:rPr>
            </w:pPr>
            <w:r>
              <w:rPr>
                <w:color w:val="000000"/>
                <w:sz w:val="20"/>
                <w:szCs w:val="22"/>
              </w:rPr>
              <w:t>U</w:t>
            </w:r>
          </w:p>
        </w:tc>
        <w:tc>
          <w:tcPr>
            <w:tcW w:w="503" w:type="pct"/>
            <w:vMerge w:val="restart"/>
            <w:shd w:val="clear" w:color="auto" w:fill="auto"/>
            <w:vAlign w:val="bottom"/>
          </w:tcPr>
          <w:p>
            <w:pPr>
              <w:jc w:val="right"/>
              <w:rPr>
                <w:color w:val="000000"/>
                <w:sz w:val="20"/>
                <w:szCs w:val="22"/>
              </w:rPr>
            </w:pPr>
            <w:r>
              <w:rPr>
                <w:color w:val="000000"/>
                <w:sz w:val="20"/>
                <w:szCs w:val="22"/>
              </w:rPr>
              <w:t>1</w:t>
            </w:r>
          </w:p>
        </w:tc>
        <w:tc>
          <w:tcPr>
            <w:tcW w:w="507" w:type="pct"/>
            <w:vMerge w:val="restart"/>
            <w:shd w:val="clear" w:color="auto" w:fill="auto"/>
            <w:vAlign w:val="bottom"/>
          </w:tcPr>
          <w:p>
            <w:pPr>
              <w:jc w:val="right"/>
              <w:rPr>
                <w:color w:val="000000"/>
                <w:sz w:val="20"/>
                <w:szCs w:val="22"/>
              </w:rPr>
            </w:pPr>
            <w:r>
              <w:rPr>
                <w:color w:val="000000"/>
                <w:sz w:val="20"/>
                <w:szCs w:val="22"/>
              </w:rPr>
              <w:t>9.442.00</w:t>
            </w:r>
          </w:p>
        </w:tc>
        <w:tc>
          <w:tcPr>
            <w:tcW w:w="384" w:type="pct"/>
            <w:vMerge w:val="restart"/>
            <w:shd w:val="clear" w:color="auto" w:fill="auto"/>
            <w:vAlign w:val="bottom"/>
          </w:tcPr>
          <w:p>
            <w:pPr>
              <w:jc w:val="right"/>
              <w:rPr>
                <w:bCs/>
                <w:color w:val="000000"/>
                <w:sz w:val="20"/>
                <w:szCs w:val="22"/>
              </w:rPr>
            </w:pPr>
            <w:r>
              <w:rPr>
                <w:color w:val="000000"/>
                <w:sz w:val="20"/>
                <w:szCs w:val="22"/>
              </w:rPr>
              <w:t>9.442.00</w:t>
            </w:r>
          </w:p>
        </w:tc>
      </w:tr>
      <w:tr>
        <w:trPr>
          <w:trHeight w:val="210"/>
        </w:trPr>
        <w:tc>
          <w:tcPr>
            <w:tcW w:w="354" w:type="pct"/>
            <w:shd w:val="clear" w:color="auto" w:fill="auto"/>
            <w:vAlign w:val="bottom"/>
            <w:hideMark/>
          </w:tcPr>
          <w:p>
            <w:pPr>
              <w:jc w:val="center"/>
              <w:rPr>
                <w:color w:val="000000"/>
                <w:sz w:val="20"/>
                <w:szCs w:val="22"/>
              </w:rPr>
            </w:pPr>
            <w:r>
              <w:rPr>
                <w:color w:val="000000"/>
                <w:sz w:val="20"/>
                <w:szCs w:val="22"/>
              </w:rPr>
              <w:t>2</w:t>
            </w:r>
          </w:p>
        </w:tc>
        <w:tc>
          <w:tcPr>
            <w:tcW w:w="2859" w:type="pct"/>
            <w:shd w:val="clear" w:color="auto" w:fill="auto"/>
            <w:vAlign w:val="bottom"/>
          </w:tcPr>
          <w:p>
            <w:pPr>
              <w:pStyle w:val="TableParagraph"/>
              <w:tabs>
                <w:tab w:val="left" w:pos="1471"/>
                <w:tab w:val="left" w:pos="2029"/>
              </w:tabs>
              <w:ind w:right="129"/>
              <w:jc w:val="both"/>
              <w:rPr>
                <w:rFonts w:cs="Times New Roman"/>
                <w:b/>
                <w:spacing w:val="-2"/>
                <w:sz w:val="20"/>
              </w:rPr>
            </w:pPr>
            <w:r>
              <w:rPr>
                <w:rFonts w:cs="Times New Roman"/>
                <w:b/>
                <w:spacing w:val="-2"/>
                <w:sz w:val="20"/>
              </w:rPr>
              <w:t>Clases virtuales asincrónicas (66 horas académicas) dirigido a los miembros de la Unidad de Comunicación Social de la Procuraduría General del Estado.</w:t>
            </w:r>
          </w:p>
          <w:p>
            <w:pPr>
              <w:pStyle w:val="TableParagraph"/>
              <w:tabs>
                <w:tab w:val="left" w:pos="1471"/>
                <w:tab w:val="left" w:pos="2029"/>
              </w:tabs>
              <w:ind w:right="129"/>
              <w:jc w:val="both"/>
              <w:rPr>
                <w:rFonts w:cs="Times New Roman"/>
                <w:spacing w:val="-2"/>
                <w:sz w:val="20"/>
              </w:rPr>
            </w:pPr>
          </w:p>
          <w:p>
            <w:pPr>
              <w:pStyle w:val="TableParagraph"/>
              <w:tabs>
                <w:tab w:val="left" w:pos="1471"/>
                <w:tab w:val="left" w:pos="2029"/>
              </w:tabs>
              <w:ind w:right="129"/>
              <w:jc w:val="both"/>
              <w:rPr>
                <w:rFonts w:cs="Times New Roman"/>
                <w:spacing w:val="-2"/>
                <w:sz w:val="20"/>
              </w:rPr>
            </w:pPr>
            <w:r>
              <w:rPr>
                <w:rFonts w:cs="Times New Roman"/>
                <w:spacing w:val="-2"/>
                <w:sz w:val="20"/>
              </w:rPr>
              <w:t xml:space="preserve">Capacitación virtual de sesenta y seis (66) horas académicas asincrónicas distribuidas en 30 días calendario dirigido a los miembros de la Unidad de Comunicación Social de la Procuraduría General del Estado. En estas horas académicas, se abordarán los siguientes contenidos que incluirán ejercicios prácticos: Storytelling, narrativa para redes sociales, narrativa visual, aplicaciones para Comunicación transmedia, Ecosistema </w:t>
            </w:r>
          </w:p>
        </w:tc>
        <w:tc>
          <w:tcPr>
            <w:tcW w:w="393" w:type="pct"/>
            <w:vMerge/>
            <w:shd w:val="clear" w:color="auto" w:fill="auto"/>
            <w:vAlign w:val="bottom"/>
          </w:tcPr>
          <w:p>
            <w:pPr>
              <w:rPr>
                <w:color w:val="000000"/>
                <w:sz w:val="20"/>
                <w:szCs w:val="22"/>
              </w:rPr>
            </w:pPr>
          </w:p>
        </w:tc>
        <w:tc>
          <w:tcPr>
            <w:tcW w:w="503" w:type="pct"/>
            <w:vMerge/>
            <w:shd w:val="clear" w:color="auto" w:fill="auto"/>
            <w:vAlign w:val="bottom"/>
          </w:tcPr>
          <w:p>
            <w:pPr>
              <w:jc w:val="right"/>
              <w:rPr>
                <w:color w:val="000000"/>
                <w:sz w:val="20"/>
                <w:szCs w:val="22"/>
              </w:rPr>
            </w:pPr>
          </w:p>
        </w:tc>
        <w:tc>
          <w:tcPr>
            <w:tcW w:w="507" w:type="pct"/>
            <w:vMerge/>
            <w:shd w:val="clear" w:color="auto" w:fill="auto"/>
            <w:vAlign w:val="bottom"/>
          </w:tcPr>
          <w:p>
            <w:pPr>
              <w:jc w:val="right"/>
              <w:rPr>
                <w:color w:val="000000"/>
                <w:sz w:val="20"/>
                <w:szCs w:val="22"/>
              </w:rPr>
            </w:pPr>
          </w:p>
        </w:tc>
        <w:tc>
          <w:tcPr>
            <w:tcW w:w="384" w:type="pct"/>
            <w:vMerge/>
            <w:shd w:val="clear" w:color="auto" w:fill="auto"/>
            <w:vAlign w:val="bottom"/>
          </w:tcPr>
          <w:p>
            <w:pPr>
              <w:jc w:val="right"/>
              <w:rPr>
                <w:bCs/>
                <w:color w:val="000000"/>
                <w:sz w:val="20"/>
                <w:szCs w:val="22"/>
              </w:rPr>
            </w:pPr>
          </w:p>
        </w:tc>
      </w:tr>
      <w:tr>
        <w:trPr>
          <w:trHeight w:val="210"/>
        </w:trPr>
        <w:tc>
          <w:tcPr>
            <w:tcW w:w="354" w:type="pct"/>
            <w:shd w:val="clear" w:color="auto" w:fill="auto"/>
            <w:vAlign w:val="bottom"/>
            <w:hideMark/>
          </w:tcPr>
          <w:p>
            <w:pPr>
              <w:jc w:val="center"/>
              <w:rPr>
                <w:color w:val="000000"/>
                <w:sz w:val="20"/>
                <w:szCs w:val="22"/>
              </w:rPr>
            </w:pPr>
            <w:r>
              <w:rPr>
                <w:color w:val="000000"/>
                <w:sz w:val="20"/>
                <w:szCs w:val="22"/>
              </w:rPr>
              <w:t>3</w:t>
            </w:r>
          </w:p>
        </w:tc>
        <w:tc>
          <w:tcPr>
            <w:tcW w:w="2859" w:type="pct"/>
            <w:shd w:val="clear" w:color="auto" w:fill="auto"/>
            <w:vAlign w:val="bottom"/>
          </w:tcPr>
          <w:p>
            <w:pPr>
              <w:pStyle w:val="TableParagraph"/>
              <w:tabs>
                <w:tab w:val="left" w:pos="2029"/>
              </w:tabs>
              <w:ind w:right="128"/>
              <w:jc w:val="both"/>
              <w:rPr>
                <w:rFonts w:cs="Times New Roman"/>
                <w:b/>
                <w:sz w:val="20"/>
              </w:rPr>
            </w:pPr>
            <w:r>
              <w:rPr>
                <w:rFonts w:cs="Times New Roman"/>
                <w:b/>
                <w:sz w:val="20"/>
              </w:rPr>
              <w:t xml:space="preserve">Un taller presencial (curso intensivo de </w:t>
            </w:r>
            <w:r>
              <w:rPr>
                <w:rFonts w:cs="Times New Roman"/>
                <w:b/>
                <w:spacing w:val="-2"/>
                <w:sz w:val="20"/>
              </w:rPr>
              <w:t xml:space="preserve">Herramientas </w:t>
            </w:r>
            <w:r>
              <w:rPr>
                <w:rFonts w:cs="Times New Roman"/>
                <w:b/>
                <w:spacing w:val="-6"/>
                <w:sz w:val="20"/>
              </w:rPr>
              <w:t xml:space="preserve">de </w:t>
            </w:r>
            <w:r>
              <w:rPr>
                <w:rFonts w:cs="Times New Roman"/>
                <w:b/>
                <w:spacing w:val="-2"/>
                <w:sz w:val="20"/>
              </w:rPr>
              <w:t>Comunicación)</w:t>
            </w:r>
            <w:r>
              <w:rPr>
                <w:rFonts w:cs="Times New Roman"/>
                <w:b/>
                <w:spacing w:val="-10"/>
                <w:sz w:val="20"/>
              </w:rPr>
              <w:t xml:space="preserve"> </w:t>
            </w:r>
            <w:r>
              <w:rPr>
                <w:rFonts w:cs="Times New Roman"/>
                <w:b/>
                <w:spacing w:val="-2"/>
                <w:sz w:val="20"/>
              </w:rPr>
              <w:t xml:space="preserve">dirigido </w:t>
            </w:r>
            <w:r>
              <w:rPr>
                <w:rFonts w:cs="Times New Roman"/>
                <w:b/>
                <w:sz w:val="20"/>
              </w:rPr>
              <w:t xml:space="preserve">a los miembros de la </w:t>
            </w:r>
            <w:r>
              <w:rPr>
                <w:rFonts w:cs="Times New Roman"/>
                <w:b/>
                <w:spacing w:val="-2"/>
                <w:sz w:val="20"/>
              </w:rPr>
              <w:t xml:space="preserve">Unidad </w:t>
            </w:r>
            <w:r>
              <w:rPr>
                <w:rFonts w:cs="Times New Roman"/>
                <w:b/>
                <w:spacing w:val="-5"/>
                <w:sz w:val="20"/>
              </w:rPr>
              <w:t xml:space="preserve">de </w:t>
            </w:r>
            <w:r>
              <w:rPr>
                <w:rFonts w:cs="Times New Roman"/>
                <w:b/>
                <w:sz w:val="20"/>
              </w:rPr>
              <w:t xml:space="preserve">Comunicación Social de la Procuraduría General del Estado, antes de finalizar el </w:t>
            </w:r>
            <w:r>
              <w:rPr>
                <w:rFonts w:cs="Times New Roman"/>
                <w:b/>
                <w:spacing w:val="-2"/>
                <w:sz w:val="20"/>
              </w:rPr>
              <w:t xml:space="preserve">curso. </w:t>
            </w:r>
            <w:r>
              <w:rPr>
                <w:rFonts w:cs="Times New Roman"/>
                <w:b/>
                <w:sz w:val="20"/>
              </w:rPr>
              <w:t>Clase</w:t>
            </w:r>
            <w:r>
              <w:rPr>
                <w:rFonts w:cs="Times New Roman"/>
                <w:b/>
                <w:spacing w:val="-12"/>
                <w:sz w:val="20"/>
              </w:rPr>
              <w:t xml:space="preserve"> </w:t>
            </w:r>
            <w:r>
              <w:rPr>
                <w:rFonts w:cs="Times New Roman"/>
                <w:b/>
                <w:sz w:val="20"/>
              </w:rPr>
              <w:t>presencial:</w:t>
            </w:r>
            <w:r>
              <w:rPr>
                <w:rFonts w:cs="Times New Roman"/>
                <w:b/>
                <w:spacing w:val="-12"/>
                <w:sz w:val="20"/>
              </w:rPr>
              <w:t xml:space="preserve"> </w:t>
            </w:r>
            <w:r>
              <w:rPr>
                <w:rFonts w:cs="Times New Roman"/>
                <w:b/>
                <w:sz w:val="20"/>
              </w:rPr>
              <w:t>8 horas académicas</w:t>
            </w:r>
          </w:p>
          <w:p>
            <w:pPr>
              <w:rPr>
                <w:sz w:val="20"/>
                <w:szCs w:val="22"/>
              </w:rPr>
            </w:pPr>
          </w:p>
          <w:p>
            <w:pPr>
              <w:pStyle w:val="TableParagraph"/>
              <w:ind w:right="148"/>
              <w:jc w:val="both"/>
              <w:rPr>
                <w:rFonts w:cs="Times New Roman"/>
                <w:sz w:val="20"/>
              </w:rPr>
            </w:pPr>
            <w:r>
              <w:rPr>
                <w:rFonts w:cs="Times New Roman"/>
                <w:sz w:val="20"/>
              </w:rPr>
              <w:t>Servicio</w:t>
            </w:r>
            <w:r>
              <w:rPr>
                <w:rFonts w:cs="Times New Roman"/>
                <w:spacing w:val="-11"/>
                <w:sz w:val="20"/>
              </w:rPr>
              <w:t xml:space="preserve"> </w:t>
            </w:r>
            <w:r>
              <w:rPr>
                <w:rFonts w:cs="Times New Roman"/>
                <w:sz w:val="20"/>
              </w:rPr>
              <w:t>de</w:t>
            </w:r>
            <w:r>
              <w:rPr>
                <w:rFonts w:cs="Times New Roman"/>
                <w:spacing w:val="-11"/>
                <w:sz w:val="20"/>
              </w:rPr>
              <w:t xml:space="preserve"> </w:t>
            </w:r>
            <w:r>
              <w:rPr>
                <w:rFonts w:cs="Times New Roman"/>
                <w:sz w:val="20"/>
              </w:rPr>
              <w:t>capacitación</w:t>
            </w:r>
            <w:r>
              <w:rPr>
                <w:rFonts w:cs="Times New Roman"/>
                <w:spacing w:val="-8"/>
                <w:sz w:val="20"/>
              </w:rPr>
              <w:t xml:space="preserve"> </w:t>
            </w:r>
            <w:r>
              <w:rPr>
                <w:rFonts w:cs="Times New Roman"/>
                <w:sz w:val="20"/>
              </w:rPr>
              <w:t>presencial</w:t>
            </w:r>
            <w:r>
              <w:rPr>
                <w:rFonts w:cs="Times New Roman"/>
                <w:spacing w:val="-9"/>
                <w:sz w:val="20"/>
              </w:rPr>
              <w:t xml:space="preserve"> </w:t>
            </w:r>
            <w:r>
              <w:rPr>
                <w:rFonts w:cs="Times New Roman"/>
                <w:sz w:val="20"/>
              </w:rPr>
              <w:t>con</w:t>
            </w:r>
            <w:r>
              <w:rPr>
                <w:rFonts w:cs="Times New Roman"/>
                <w:spacing w:val="-10"/>
                <w:sz w:val="20"/>
              </w:rPr>
              <w:t xml:space="preserve"> </w:t>
            </w:r>
            <w:r>
              <w:rPr>
                <w:rFonts w:cs="Times New Roman"/>
                <w:sz w:val="20"/>
              </w:rPr>
              <w:t>una</w:t>
            </w:r>
            <w:r>
              <w:rPr>
                <w:rFonts w:cs="Times New Roman"/>
                <w:spacing w:val="-10"/>
                <w:sz w:val="20"/>
              </w:rPr>
              <w:t xml:space="preserve"> </w:t>
            </w:r>
            <w:r>
              <w:rPr>
                <w:rFonts w:cs="Times New Roman"/>
                <w:sz w:val="20"/>
              </w:rPr>
              <w:t>duración</w:t>
            </w:r>
            <w:r>
              <w:rPr>
                <w:rFonts w:cs="Times New Roman"/>
                <w:spacing w:val="-10"/>
                <w:sz w:val="20"/>
              </w:rPr>
              <w:t xml:space="preserve"> </w:t>
            </w:r>
            <w:r>
              <w:rPr>
                <w:rFonts w:cs="Times New Roman"/>
                <w:sz w:val="20"/>
              </w:rPr>
              <w:t>de</w:t>
            </w:r>
            <w:r>
              <w:rPr>
                <w:rFonts w:cs="Times New Roman"/>
                <w:spacing w:val="-8"/>
                <w:sz w:val="20"/>
              </w:rPr>
              <w:t xml:space="preserve"> </w:t>
            </w:r>
            <w:r>
              <w:rPr>
                <w:rFonts w:cs="Times New Roman"/>
                <w:sz w:val="20"/>
              </w:rPr>
              <w:t>ocho</w:t>
            </w:r>
            <w:r>
              <w:rPr>
                <w:rFonts w:cs="Times New Roman"/>
                <w:spacing w:val="-11"/>
                <w:sz w:val="20"/>
              </w:rPr>
              <w:t xml:space="preserve"> </w:t>
            </w:r>
            <w:r>
              <w:rPr>
                <w:rFonts w:cs="Times New Roman"/>
                <w:sz w:val="20"/>
              </w:rPr>
              <w:t xml:space="preserve">(8) horas académicas en </w:t>
            </w:r>
            <w:r>
              <w:rPr>
                <w:rFonts w:cs="Times New Roman"/>
                <w:i/>
                <w:sz w:val="20"/>
              </w:rPr>
              <w:t xml:space="preserve">“Capacitación en herramientas de Comunicación” </w:t>
            </w:r>
            <w:r>
              <w:rPr>
                <w:rFonts w:cs="Times New Roman"/>
                <w:sz w:val="20"/>
              </w:rPr>
              <w:t xml:space="preserve">en Herramientas de Comunicación, dirigido </w:t>
            </w:r>
            <w:r>
              <w:rPr>
                <w:rFonts w:cs="Times New Roman"/>
                <w:sz w:val="20"/>
              </w:rPr>
              <w:lastRenderedPageBreak/>
              <w:t>a los miembros de la Unidad de Comunicación Social de la Procuraduría</w:t>
            </w:r>
            <w:r>
              <w:rPr>
                <w:rFonts w:cs="Times New Roman"/>
                <w:spacing w:val="-4"/>
                <w:sz w:val="20"/>
              </w:rPr>
              <w:t xml:space="preserve"> </w:t>
            </w:r>
            <w:r>
              <w:rPr>
                <w:rFonts w:cs="Times New Roman"/>
                <w:sz w:val="20"/>
              </w:rPr>
              <w:t>General</w:t>
            </w:r>
            <w:r>
              <w:rPr>
                <w:rFonts w:cs="Times New Roman"/>
                <w:spacing w:val="-4"/>
                <w:sz w:val="20"/>
              </w:rPr>
              <w:t xml:space="preserve"> </w:t>
            </w:r>
            <w:r>
              <w:rPr>
                <w:rFonts w:cs="Times New Roman"/>
                <w:sz w:val="20"/>
              </w:rPr>
              <w:t>del</w:t>
            </w:r>
            <w:r>
              <w:rPr>
                <w:rFonts w:cs="Times New Roman"/>
                <w:spacing w:val="-6"/>
                <w:sz w:val="20"/>
              </w:rPr>
              <w:t xml:space="preserve"> </w:t>
            </w:r>
            <w:r>
              <w:rPr>
                <w:rFonts w:cs="Times New Roman"/>
                <w:sz w:val="20"/>
              </w:rPr>
              <w:t>Estado.</w:t>
            </w:r>
            <w:r>
              <w:rPr>
                <w:rFonts w:cs="Times New Roman"/>
                <w:spacing w:val="-4"/>
                <w:sz w:val="20"/>
              </w:rPr>
              <w:t xml:space="preserve"> </w:t>
            </w:r>
            <w:r>
              <w:rPr>
                <w:rFonts w:cs="Times New Roman"/>
                <w:sz w:val="20"/>
              </w:rPr>
              <w:t>En</w:t>
            </w:r>
            <w:r>
              <w:rPr>
                <w:rFonts w:cs="Times New Roman"/>
                <w:spacing w:val="-4"/>
                <w:sz w:val="20"/>
              </w:rPr>
              <w:t xml:space="preserve"> </w:t>
            </w:r>
            <w:r>
              <w:rPr>
                <w:rFonts w:cs="Times New Roman"/>
                <w:sz w:val="20"/>
              </w:rPr>
              <w:t>este</w:t>
            </w:r>
            <w:r>
              <w:rPr>
                <w:rFonts w:cs="Times New Roman"/>
                <w:spacing w:val="-4"/>
                <w:sz w:val="20"/>
              </w:rPr>
              <w:t xml:space="preserve"> </w:t>
            </w:r>
            <w:r>
              <w:rPr>
                <w:rFonts w:cs="Times New Roman"/>
                <w:sz w:val="20"/>
              </w:rPr>
              <w:t>taller,</w:t>
            </w:r>
            <w:r>
              <w:rPr>
                <w:rFonts w:cs="Times New Roman"/>
                <w:spacing w:val="-6"/>
                <w:sz w:val="20"/>
              </w:rPr>
              <w:t xml:space="preserve"> </w:t>
            </w:r>
            <w:r>
              <w:rPr>
                <w:rFonts w:cs="Times New Roman"/>
                <w:sz w:val="20"/>
              </w:rPr>
              <w:t>se</w:t>
            </w:r>
            <w:r>
              <w:rPr>
                <w:rFonts w:cs="Times New Roman"/>
                <w:spacing w:val="-4"/>
                <w:sz w:val="20"/>
              </w:rPr>
              <w:t xml:space="preserve"> </w:t>
            </w:r>
            <w:r>
              <w:rPr>
                <w:rFonts w:cs="Times New Roman"/>
                <w:sz w:val="20"/>
              </w:rPr>
              <w:t>abordarán</w:t>
            </w:r>
            <w:r>
              <w:rPr>
                <w:rFonts w:cs="Times New Roman"/>
                <w:spacing w:val="-4"/>
                <w:sz w:val="20"/>
              </w:rPr>
              <w:t xml:space="preserve"> </w:t>
            </w:r>
            <w:r>
              <w:rPr>
                <w:rFonts w:cs="Times New Roman"/>
                <w:sz w:val="20"/>
              </w:rPr>
              <w:t>los siguientes contenidos: Inteligencia Artificial y diseño express, Diseño</w:t>
            </w:r>
            <w:r>
              <w:rPr>
                <w:rFonts w:cs="Times New Roman"/>
                <w:spacing w:val="-8"/>
                <w:sz w:val="20"/>
              </w:rPr>
              <w:t xml:space="preserve"> </w:t>
            </w:r>
            <w:r>
              <w:rPr>
                <w:rFonts w:cs="Times New Roman"/>
                <w:sz w:val="20"/>
              </w:rPr>
              <w:t>de</w:t>
            </w:r>
            <w:r>
              <w:rPr>
                <w:rFonts w:cs="Times New Roman"/>
                <w:spacing w:val="-8"/>
                <w:sz w:val="20"/>
              </w:rPr>
              <w:t xml:space="preserve"> </w:t>
            </w:r>
            <w:r>
              <w:rPr>
                <w:rFonts w:cs="Times New Roman"/>
                <w:sz w:val="20"/>
              </w:rPr>
              <w:t>experiencia</w:t>
            </w:r>
            <w:r>
              <w:rPr>
                <w:rFonts w:cs="Times New Roman"/>
                <w:spacing w:val="-9"/>
                <w:sz w:val="20"/>
              </w:rPr>
              <w:t xml:space="preserve"> </w:t>
            </w:r>
            <w:r>
              <w:rPr>
                <w:rFonts w:cs="Times New Roman"/>
                <w:sz w:val="20"/>
              </w:rPr>
              <w:t>del</w:t>
            </w:r>
            <w:r>
              <w:rPr>
                <w:rFonts w:cs="Times New Roman"/>
                <w:spacing w:val="-11"/>
                <w:sz w:val="20"/>
              </w:rPr>
              <w:t xml:space="preserve"> </w:t>
            </w:r>
            <w:r>
              <w:rPr>
                <w:rFonts w:cs="Times New Roman"/>
                <w:sz w:val="20"/>
              </w:rPr>
              <w:t>usuario,</w:t>
            </w:r>
            <w:r>
              <w:rPr>
                <w:rFonts w:cs="Times New Roman"/>
                <w:spacing w:val="-8"/>
                <w:sz w:val="20"/>
              </w:rPr>
              <w:t xml:space="preserve"> </w:t>
            </w:r>
            <w:r>
              <w:rPr>
                <w:rFonts w:cs="Times New Roman"/>
                <w:sz w:val="20"/>
              </w:rPr>
              <w:t>Investigación</w:t>
            </w:r>
            <w:r>
              <w:rPr>
                <w:rFonts w:cs="Times New Roman"/>
                <w:spacing w:val="-10"/>
                <w:sz w:val="20"/>
              </w:rPr>
              <w:t xml:space="preserve"> </w:t>
            </w:r>
            <w:r>
              <w:rPr>
                <w:rFonts w:cs="Times New Roman"/>
                <w:sz w:val="20"/>
              </w:rPr>
              <w:t>digital,</w:t>
            </w:r>
            <w:r>
              <w:rPr>
                <w:rFonts w:cs="Times New Roman"/>
                <w:spacing w:val="-9"/>
                <w:sz w:val="20"/>
              </w:rPr>
              <w:t xml:space="preserve"> </w:t>
            </w:r>
            <w:r>
              <w:rPr>
                <w:rFonts w:cs="Times New Roman"/>
                <w:sz w:val="20"/>
              </w:rPr>
              <w:t>creación de contenidos para nuevas audiencias y nuevas tecnologías, Fotografía y edición digital, Comunicación inmersiva. El Contratista realizará trabajos prácticos con aplicaciones en celulares/IPad/Laptops o PC.</w:t>
            </w:r>
          </w:p>
          <w:p>
            <w:pPr>
              <w:pStyle w:val="TableParagraph"/>
              <w:ind w:right="148"/>
              <w:jc w:val="both"/>
              <w:rPr>
                <w:rFonts w:cs="Times New Roman"/>
                <w:sz w:val="20"/>
              </w:rPr>
            </w:pPr>
            <w:r>
              <w:rPr>
                <w:rFonts w:cs="Times New Roman"/>
                <w:sz w:val="20"/>
              </w:rPr>
              <w:t>En</w:t>
            </w:r>
            <w:r>
              <w:rPr>
                <w:rFonts w:cs="Times New Roman"/>
                <w:spacing w:val="-8"/>
                <w:sz w:val="20"/>
              </w:rPr>
              <w:t xml:space="preserve"> </w:t>
            </w:r>
            <w:r>
              <w:rPr>
                <w:rFonts w:cs="Times New Roman"/>
                <w:sz w:val="20"/>
              </w:rPr>
              <w:t>este</w:t>
            </w:r>
            <w:r>
              <w:rPr>
                <w:rFonts w:cs="Times New Roman"/>
                <w:spacing w:val="-11"/>
                <w:sz w:val="20"/>
              </w:rPr>
              <w:t xml:space="preserve"> </w:t>
            </w:r>
            <w:r>
              <w:rPr>
                <w:rFonts w:cs="Times New Roman"/>
                <w:sz w:val="20"/>
              </w:rPr>
              <w:t>taller,</w:t>
            </w:r>
            <w:r>
              <w:rPr>
                <w:rFonts w:cs="Times New Roman"/>
                <w:spacing w:val="-10"/>
                <w:sz w:val="20"/>
              </w:rPr>
              <w:t xml:space="preserve"> </w:t>
            </w:r>
            <w:r>
              <w:rPr>
                <w:rFonts w:cs="Times New Roman"/>
                <w:sz w:val="20"/>
              </w:rPr>
              <w:t>los</w:t>
            </w:r>
            <w:r>
              <w:rPr>
                <w:rFonts w:cs="Times New Roman"/>
                <w:spacing w:val="-9"/>
                <w:sz w:val="20"/>
              </w:rPr>
              <w:t xml:space="preserve"> </w:t>
            </w:r>
            <w:r>
              <w:rPr>
                <w:rFonts w:cs="Times New Roman"/>
                <w:sz w:val="20"/>
              </w:rPr>
              <w:t>miembros</w:t>
            </w:r>
            <w:r>
              <w:rPr>
                <w:rFonts w:cs="Times New Roman"/>
                <w:spacing w:val="-9"/>
                <w:sz w:val="20"/>
              </w:rPr>
              <w:t xml:space="preserve"> </w:t>
            </w:r>
            <w:r>
              <w:rPr>
                <w:rFonts w:cs="Times New Roman"/>
                <w:sz w:val="20"/>
              </w:rPr>
              <w:t>de</w:t>
            </w:r>
            <w:r>
              <w:rPr>
                <w:rFonts w:cs="Times New Roman"/>
                <w:spacing w:val="-8"/>
                <w:sz w:val="20"/>
              </w:rPr>
              <w:t xml:space="preserve"> </w:t>
            </w:r>
            <w:r>
              <w:rPr>
                <w:rFonts w:cs="Times New Roman"/>
                <w:sz w:val="20"/>
              </w:rPr>
              <w:t>la</w:t>
            </w:r>
            <w:r>
              <w:rPr>
                <w:rFonts w:cs="Times New Roman"/>
                <w:spacing w:val="-11"/>
                <w:sz w:val="20"/>
              </w:rPr>
              <w:t xml:space="preserve"> </w:t>
            </w:r>
            <w:r>
              <w:rPr>
                <w:rFonts w:cs="Times New Roman"/>
                <w:sz w:val="20"/>
              </w:rPr>
              <w:t>Unidad</w:t>
            </w:r>
            <w:r>
              <w:rPr>
                <w:rFonts w:cs="Times New Roman"/>
                <w:spacing w:val="-10"/>
                <w:sz w:val="20"/>
              </w:rPr>
              <w:t xml:space="preserve"> </w:t>
            </w:r>
            <w:r>
              <w:rPr>
                <w:rFonts w:cs="Times New Roman"/>
                <w:sz w:val="20"/>
              </w:rPr>
              <w:t>de</w:t>
            </w:r>
            <w:r>
              <w:rPr>
                <w:rFonts w:cs="Times New Roman"/>
                <w:spacing w:val="-11"/>
                <w:sz w:val="20"/>
              </w:rPr>
              <w:t xml:space="preserve"> </w:t>
            </w:r>
            <w:r>
              <w:rPr>
                <w:rFonts w:cs="Times New Roman"/>
                <w:sz w:val="20"/>
              </w:rPr>
              <w:t>Comunicación</w:t>
            </w:r>
            <w:r>
              <w:rPr>
                <w:rFonts w:cs="Times New Roman"/>
                <w:spacing w:val="-10"/>
                <w:sz w:val="20"/>
              </w:rPr>
              <w:t xml:space="preserve"> </w:t>
            </w:r>
            <w:r>
              <w:rPr>
                <w:rFonts w:cs="Times New Roman"/>
                <w:sz w:val="20"/>
              </w:rPr>
              <w:t>Social de la Procuraduría General del Estado presentarán una Estrategia de Comunicación Digital con su respectivo Plan de Trabajo, y los productos propuestos para posicionar la gestión institucional</w:t>
            </w:r>
            <w:r>
              <w:rPr>
                <w:rFonts w:cs="Times New Roman"/>
                <w:spacing w:val="-2"/>
                <w:sz w:val="20"/>
              </w:rPr>
              <w:t xml:space="preserve"> </w:t>
            </w:r>
            <w:r>
              <w:rPr>
                <w:rFonts w:cs="Times New Roman"/>
                <w:sz w:val="20"/>
              </w:rPr>
              <w:t>de la</w:t>
            </w:r>
            <w:r>
              <w:rPr>
                <w:rFonts w:cs="Times New Roman"/>
                <w:spacing w:val="-2"/>
                <w:sz w:val="20"/>
              </w:rPr>
              <w:t xml:space="preserve"> </w:t>
            </w:r>
            <w:r>
              <w:rPr>
                <w:rFonts w:cs="Times New Roman"/>
                <w:sz w:val="20"/>
              </w:rPr>
              <w:t>Procuraría General</w:t>
            </w:r>
            <w:r>
              <w:rPr>
                <w:rFonts w:cs="Times New Roman"/>
                <w:spacing w:val="-3"/>
                <w:sz w:val="20"/>
              </w:rPr>
              <w:t xml:space="preserve"> </w:t>
            </w:r>
            <w:r>
              <w:rPr>
                <w:rFonts w:cs="Times New Roman"/>
                <w:sz w:val="20"/>
              </w:rPr>
              <w:t>del Estado. Esta Estrategia será la evaluación final.</w:t>
            </w:r>
          </w:p>
          <w:p>
            <w:pPr>
              <w:rPr>
                <w:color w:val="000000"/>
                <w:sz w:val="20"/>
                <w:szCs w:val="22"/>
              </w:rPr>
            </w:pPr>
            <w:r>
              <w:rPr>
                <w:spacing w:val="-2"/>
                <w:sz w:val="20"/>
                <w:szCs w:val="22"/>
              </w:rPr>
              <w:t>El</w:t>
            </w:r>
            <w:r>
              <w:rPr>
                <w:spacing w:val="-10"/>
                <w:sz w:val="20"/>
                <w:szCs w:val="22"/>
              </w:rPr>
              <w:t xml:space="preserve"> </w:t>
            </w:r>
            <w:r>
              <w:rPr>
                <w:spacing w:val="-2"/>
                <w:sz w:val="20"/>
                <w:szCs w:val="22"/>
              </w:rPr>
              <w:t>taller</w:t>
            </w:r>
            <w:r>
              <w:rPr>
                <w:spacing w:val="-10"/>
                <w:sz w:val="20"/>
                <w:szCs w:val="22"/>
              </w:rPr>
              <w:t xml:space="preserve"> </w:t>
            </w:r>
            <w:r>
              <w:rPr>
                <w:spacing w:val="-2"/>
                <w:sz w:val="20"/>
                <w:szCs w:val="22"/>
              </w:rPr>
              <w:t>se</w:t>
            </w:r>
            <w:r>
              <w:rPr>
                <w:spacing w:val="-4"/>
                <w:sz w:val="20"/>
                <w:szCs w:val="22"/>
              </w:rPr>
              <w:t xml:space="preserve"> </w:t>
            </w:r>
            <w:r>
              <w:rPr>
                <w:spacing w:val="-2"/>
                <w:sz w:val="20"/>
                <w:szCs w:val="22"/>
              </w:rPr>
              <w:t>realizará</w:t>
            </w:r>
            <w:r>
              <w:rPr>
                <w:spacing w:val="-8"/>
                <w:sz w:val="20"/>
                <w:szCs w:val="22"/>
              </w:rPr>
              <w:t xml:space="preserve"> </w:t>
            </w:r>
            <w:r>
              <w:rPr>
                <w:spacing w:val="-2"/>
                <w:sz w:val="20"/>
                <w:szCs w:val="22"/>
              </w:rPr>
              <w:t>en</w:t>
            </w:r>
            <w:r>
              <w:rPr>
                <w:spacing w:val="-8"/>
                <w:sz w:val="20"/>
                <w:szCs w:val="22"/>
              </w:rPr>
              <w:t xml:space="preserve"> </w:t>
            </w:r>
            <w:r>
              <w:rPr>
                <w:spacing w:val="-2"/>
                <w:sz w:val="20"/>
                <w:szCs w:val="22"/>
              </w:rPr>
              <w:t>el</w:t>
            </w:r>
            <w:r>
              <w:rPr>
                <w:spacing w:val="-10"/>
                <w:sz w:val="20"/>
                <w:szCs w:val="22"/>
              </w:rPr>
              <w:t xml:space="preserve"> </w:t>
            </w:r>
            <w:r>
              <w:rPr>
                <w:spacing w:val="-2"/>
                <w:sz w:val="20"/>
                <w:szCs w:val="22"/>
              </w:rPr>
              <w:t>lugar</w:t>
            </w:r>
            <w:r>
              <w:rPr>
                <w:spacing w:val="-8"/>
                <w:sz w:val="20"/>
                <w:szCs w:val="22"/>
              </w:rPr>
              <w:t xml:space="preserve"> </w:t>
            </w:r>
            <w:r>
              <w:rPr>
                <w:spacing w:val="-2"/>
                <w:sz w:val="20"/>
                <w:szCs w:val="22"/>
              </w:rPr>
              <w:t>que</w:t>
            </w:r>
            <w:r>
              <w:rPr>
                <w:spacing w:val="-7"/>
                <w:sz w:val="20"/>
                <w:szCs w:val="22"/>
              </w:rPr>
              <w:t xml:space="preserve"> </w:t>
            </w:r>
            <w:r>
              <w:rPr>
                <w:spacing w:val="-2"/>
                <w:sz w:val="20"/>
                <w:szCs w:val="22"/>
              </w:rPr>
              <w:t>proponga el</w:t>
            </w:r>
            <w:r>
              <w:rPr>
                <w:spacing w:val="-4"/>
                <w:sz w:val="20"/>
                <w:szCs w:val="22"/>
              </w:rPr>
              <w:t xml:space="preserve"> </w:t>
            </w:r>
            <w:r>
              <w:rPr>
                <w:spacing w:val="-2"/>
                <w:sz w:val="20"/>
                <w:szCs w:val="22"/>
              </w:rPr>
              <w:t xml:space="preserve">Contratista previa </w:t>
            </w:r>
            <w:r>
              <w:rPr>
                <w:sz w:val="20"/>
                <w:szCs w:val="22"/>
              </w:rPr>
              <w:t>autorización del Administrador de Contrato.</w:t>
            </w:r>
          </w:p>
        </w:tc>
        <w:tc>
          <w:tcPr>
            <w:tcW w:w="393" w:type="pct"/>
            <w:vMerge/>
            <w:shd w:val="clear" w:color="auto" w:fill="auto"/>
            <w:vAlign w:val="bottom"/>
          </w:tcPr>
          <w:p>
            <w:pPr>
              <w:rPr>
                <w:color w:val="000000"/>
                <w:sz w:val="20"/>
                <w:szCs w:val="22"/>
              </w:rPr>
            </w:pPr>
          </w:p>
        </w:tc>
        <w:tc>
          <w:tcPr>
            <w:tcW w:w="503" w:type="pct"/>
            <w:vMerge/>
            <w:shd w:val="clear" w:color="auto" w:fill="auto"/>
            <w:vAlign w:val="bottom"/>
          </w:tcPr>
          <w:p>
            <w:pPr>
              <w:jc w:val="right"/>
              <w:rPr>
                <w:color w:val="000000"/>
                <w:sz w:val="20"/>
                <w:szCs w:val="22"/>
              </w:rPr>
            </w:pPr>
          </w:p>
        </w:tc>
        <w:tc>
          <w:tcPr>
            <w:tcW w:w="507" w:type="pct"/>
            <w:vMerge/>
            <w:shd w:val="clear" w:color="auto" w:fill="auto"/>
            <w:vAlign w:val="bottom"/>
          </w:tcPr>
          <w:p>
            <w:pPr>
              <w:jc w:val="right"/>
              <w:rPr>
                <w:color w:val="000000"/>
                <w:sz w:val="20"/>
                <w:szCs w:val="22"/>
              </w:rPr>
            </w:pPr>
          </w:p>
        </w:tc>
        <w:tc>
          <w:tcPr>
            <w:tcW w:w="384" w:type="pct"/>
            <w:vMerge/>
            <w:shd w:val="clear" w:color="auto" w:fill="auto"/>
            <w:vAlign w:val="bottom"/>
          </w:tcPr>
          <w:p>
            <w:pPr>
              <w:jc w:val="right"/>
              <w:rPr>
                <w:bCs/>
                <w:color w:val="000000"/>
                <w:sz w:val="20"/>
                <w:szCs w:val="22"/>
              </w:rPr>
            </w:pPr>
          </w:p>
        </w:tc>
      </w:tr>
      <w:tr>
        <w:trPr>
          <w:trHeight w:val="210"/>
        </w:trPr>
        <w:tc>
          <w:tcPr>
            <w:tcW w:w="354" w:type="pct"/>
            <w:shd w:val="clear" w:color="auto" w:fill="auto"/>
            <w:vAlign w:val="bottom"/>
            <w:hideMark/>
          </w:tcPr>
          <w:p>
            <w:pPr>
              <w:jc w:val="center"/>
              <w:rPr>
                <w:color w:val="000000"/>
                <w:sz w:val="20"/>
                <w:szCs w:val="22"/>
              </w:rPr>
            </w:pPr>
            <w:r>
              <w:rPr>
                <w:color w:val="000000"/>
                <w:sz w:val="20"/>
                <w:szCs w:val="22"/>
              </w:rPr>
              <w:lastRenderedPageBreak/>
              <w:t>4</w:t>
            </w:r>
          </w:p>
        </w:tc>
        <w:tc>
          <w:tcPr>
            <w:tcW w:w="2859" w:type="pct"/>
            <w:shd w:val="clear" w:color="auto" w:fill="auto"/>
            <w:vAlign w:val="bottom"/>
          </w:tcPr>
          <w:p>
            <w:pPr>
              <w:rPr>
                <w:b/>
                <w:sz w:val="20"/>
                <w:szCs w:val="22"/>
              </w:rPr>
            </w:pPr>
            <w:r>
              <w:rPr>
                <w:b/>
                <w:spacing w:val="-2"/>
                <w:sz w:val="20"/>
                <w:szCs w:val="22"/>
              </w:rPr>
              <w:t xml:space="preserve">Evaluación, </w:t>
            </w:r>
            <w:r>
              <w:rPr>
                <w:b/>
                <w:sz w:val="20"/>
                <w:szCs w:val="22"/>
              </w:rPr>
              <w:t>certificación,</w:t>
            </w:r>
            <w:r>
              <w:rPr>
                <w:b/>
                <w:spacing w:val="-2"/>
                <w:sz w:val="20"/>
                <w:szCs w:val="22"/>
              </w:rPr>
              <w:t xml:space="preserve"> </w:t>
            </w:r>
            <w:r>
              <w:rPr>
                <w:b/>
                <w:sz w:val="20"/>
                <w:szCs w:val="22"/>
              </w:rPr>
              <w:t>y</w:t>
            </w:r>
            <w:r>
              <w:rPr>
                <w:b/>
                <w:spacing w:val="-3"/>
                <w:sz w:val="20"/>
                <w:szCs w:val="22"/>
              </w:rPr>
              <w:t xml:space="preserve"> </w:t>
            </w:r>
            <w:r>
              <w:rPr>
                <w:b/>
                <w:sz w:val="20"/>
                <w:szCs w:val="22"/>
              </w:rPr>
              <w:t>reporte de actividades.</w:t>
            </w:r>
          </w:p>
          <w:p>
            <w:pPr>
              <w:rPr>
                <w:sz w:val="20"/>
                <w:szCs w:val="22"/>
              </w:rPr>
            </w:pPr>
          </w:p>
          <w:p>
            <w:pPr>
              <w:pStyle w:val="TableParagraph"/>
              <w:ind w:right="147"/>
              <w:jc w:val="both"/>
              <w:rPr>
                <w:rFonts w:cs="Times New Roman"/>
                <w:sz w:val="20"/>
              </w:rPr>
            </w:pPr>
            <w:r>
              <w:rPr>
                <w:rFonts w:cs="Times New Roman"/>
                <w:sz w:val="20"/>
              </w:rPr>
              <w:t>El</w:t>
            </w:r>
            <w:r>
              <w:rPr>
                <w:rFonts w:cs="Times New Roman"/>
                <w:spacing w:val="-5"/>
                <w:sz w:val="20"/>
              </w:rPr>
              <w:t xml:space="preserve"> </w:t>
            </w:r>
            <w:r>
              <w:rPr>
                <w:rFonts w:cs="Times New Roman"/>
                <w:sz w:val="20"/>
              </w:rPr>
              <w:t>Contratista</w:t>
            </w:r>
            <w:r>
              <w:rPr>
                <w:rFonts w:cs="Times New Roman"/>
                <w:spacing w:val="-6"/>
                <w:sz w:val="20"/>
              </w:rPr>
              <w:t xml:space="preserve"> </w:t>
            </w:r>
            <w:r>
              <w:rPr>
                <w:rFonts w:cs="Times New Roman"/>
                <w:sz w:val="20"/>
              </w:rPr>
              <w:t>entregará</w:t>
            </w:r>
            <w:r>
              <w:rPr>
                <w:rFonts w:cs="Times New Roman"/>
                <w:spacing w:val="-6"/>
                <w:sz w:val="20"/>
              </w:rPr>
              <w:t xml:space="preserve"> </w:t>
            </w:r>
            <w:r>
              <w:rPr>
                <w:rFonts w:cs="Times New Roman"/>
                <w:sz w:val="20"/>
              </w:rPr>
              <w:t>los</w:t>
            </w:r>
            <w:r>
              <w:rPr>
                <w:rFonts w:cs="Times New Roman"/>
                <w:spacing w:val="-3"/>
                <w:sz w:val="20"/>
              </w:rPr>
              <w:t xml:space="preserve"> </w:t>
            </w:r>
            <w:r>
              <w:rPr>
                <w:rFonts w:cs="Times New Roman"/>
                <w:sz w:val="20"/>
              </w:rPr>
              <w:t>certificados</w:t>
            </w:r>
            <w:r>
              <w:rPr>
                <w:rFonts w:cs="Times New Roman"/>
                <w:spacing w:val="-5"/>
                <w:sz w:val="20"/>
              </w:rPr>
              <w:t xml:space="preserve"> </w:t>
            </w:r>
            <w:r>
              <w:rPr>
                <w:rFonts w:cs="Times New Roman"/>
                <w:sz w:val="20"/>
              </w:rPr>
              <w:t>en</w:t>
            </w:r>
            <w:r>
              <w:rPr>
                <w:rFonts w:cs="Times New Roman"/>
                <w:spacing w:val="-5"/>
                <w:sz w:val="20"/>
              </w:rPr>
              <w:t xml:space="preserve"> </w:t>
            </w:r>
            <w:r>
              <w:rPr>
                <w:rFonts w:cs="Times New Roman"/>
                <w:sz w:val="20"/>
              </w:rPr>
              <w:t>las</w:t>
            </w:r>
            <w:r>
              <w:rPr>
                <w:rFonts w:cs="Times New Roman"/>
                <w:spacing w:val="-5"/>
                <w:sz w:val="20"/>
              </w:rPr>
              <w:t xml:space="preserve"> </w:t>
            </w:r>
            <w:r>
              <w:rPr>
                <w:rFonts w:cs="Times New Roman"/>
                <w:sz w:val="20"/>
              </w:rPr>
              <w:t>que</w:t>
            </w:r>
            <w:r>
              <w:rPr>
                <w:rFonts w:cs="Times New Roman"/>
                <w:spacing w:val="-8"/>
                <w:sz w:val="20"/>
              </w:rPr>
              <w:t xml:space="preserve"> </w:t>
            </w:r>
            <w:r>
              <w:rPr>
                <w:rFonts w:cs="Times New Roman"/>
                <w:sz w:val="20"/>
              </w:rPr>
              <w:t>se</w:t>
            </w:r>
            <w:r>
              <w:rPr>
                <w:rFonts w:cs="Times New Roman"/>
                <w:spacing w:val="-8"/>
                <w:sz w:val="20"/>
              </w:rPr>
              <w:t xml:space="preserve"> </w:t>
            </w:r>
            <w:r>
              <w:rPr>
                <w:rFonts w:cs="Times New Roman"/>
                <w:sz w:val="20"/>
              </w:rPr>
              <w:t>incluyan</w:t>
            </w:r>
            <w:r>
              <w:rPr>
                <w:rFonts w:cs="Times New Roman"/>
                <w:spacing w:val="31"/>
                <w:sz w:val="20"/>
              </w:rPr>
              <w:t xml:space="preserve"> </w:t>
            </w:r>
            <w:r>
              <w:rPr>
                <w:rFonts w:cs="Times New Roman"/>
                <w:sz w:val="20"/>
              </w:rPr>
              <w:t xml:space="preserve">el total de las horas académicas recibidas del diplomado </w:t>
            </w:r>
            <w:r>
              <w:rPr>
                <w:rFonts w:cs="Times New Roman"/>
                <w:i/>
                <w:sz w:val="20"/>
              </w:rPr>
              <w:t>“Capacitación</w:t>
            </w:r>
            <w:r>
              <w:rPr>
                <w:rFonts w:cs="Times New Roman"/>
                <w:i/>
                <w:spacing w:val="-3"/>
                <w:sz w:val="20"/>
              </w:rPr>
              <w:t xml:space="preserve"> </w:t>
            </w:r>
            <w:r>
              <w:rPr>
                <w:rFonts w:cs="Times New Roman"/>
                <w:i/>
                <w:sz w:val="20"/>
              </w:rPr>
              <w:t>en</w:t>
            </w:r>
            <w:r>
              <w:rPr>
                <w:rFonts w:cs="Times New Roman"/>
                <w:i/>
                <w:spacing w:val="-3"/>
                <w:sz w:val="20"/>
              </w:rPr>
              <w:t xml:space="preserve"> </w:t>
            </w:r>
            <w:r>
              <w:rPr>
                <w:rFonts w:cs="Times New Roman"/>
                <w:i/>
                <w:sz w:val="20"/>
              </w:rPr>
              <w:t>herramientas</w:t>
            </w:r>
            <w:r>
              <w:rPr>
                <w:rFonts w:cs="Times New Roman"/>
                <w:i/>
                <w:spacing w:val="-2"/>
                <w:sz w:val="20"/>
              </w:rPr>
              <w:t xml:space="preserve"> </w:t>
            </w:r>
            <w:r>
              <w:rPr>
                <w:rFonts w:cs="Times New Roman"/>
                <w:i/>
                <w:sz w:val="20"/>
              </w:rPr>
              <w:t>de</w:t>
            </w:r>
            <w:r>
              <w:rPr>
                <w:rFonts w:cs="Times New Roman"/>
                <w:i/>
                <w:spacing w:val="-1"/>
                <w:sz w:val="20"/>
              </w:rPr>
              <w:t xml:space="preserve"> </w:t>
            </w:r>
            <w:r>
              <w:rPr>
                <w:rFonts w:cs="Times New Roman"/>
                <w:i/>
                <w:sz w:val="20"/>
              </w:rPr>
              <w:t xml:space="preserve">Comunicación” </w:t>
            </w:r>
            <w:r>
              <w:rPr>
                <w:rFonts w:cs="Times New Roman"/>
                <w:sz w:val="20"/>
              </w:rPr>
              <w:t>a</w:t>
            </w:r>
            <w:r>
              <w:rPr>
                <w:rFonts w:cs="Times New Roman"/>
                <w:spacing w:val="-2"/>
                <w:sz w:val="20"/>
              </w:rPr>
              <w:t xml:space="preserve"> </w:t>
            </w:r>
            <w:r>
              <w:rPr>
                <w:rFonts w:cs="Times New Roman"/>
                <w:sz w:val="20"/>
              </w:rPr>
              <w:t>los</w:t>
            </w:r>
            <w:r>
              <w:rPr>
                <w:rFonts w:cs="Times New Roman"/>
                <w:spacing w:val="-1"/>
                <w:sz w:val="20"/>
              </w:rPr>
              <w:t xml:space="preserve"> </w:t>
            </w:r>
            <w:r>
              <w:rPr>
                <w:rFonts w:cs="Times New Roman"/>
                <w:sz w:val="20"/>
              </w:rPr>
              <w:t>miembros de la Unidad de</w:t>
            </w:r>
            <w:r>
              <w:rPr>
                <w:rFonts w:cs="Times New Roman"/>
                <w:spacing w:val="-1"/>
                <w:sz w:val="20"/>
              </w:rPr>
              <w:t xml:space="preserve"> </w:t>
            </w:r>
            <w:r>
              <w:rPr>
                <w:rFonts w:cs="Times New Roman"/>
                <w:sz w:val="20"/>
              </w:rPr>
              <w:t>Comunicación Social</w:t>
            </w:r>
            <w:r>
              <w:rPr>
                <w:rFonts w:cs="Times New Roman"/>
                <w:spacing w:val="-1"/>
                <w:sz w:val="20"/>
              </w:rPr>
              <w:t xml:space="preserve"> </w:t>
            </w:r>
            <w:r>
              <w:rPr>
                <w:rFonts w:cs="Times New Roman"/>
                <w:sz w:val="20"/>
              </w:rPr>
              <w:t>de la Procuraduría General del Estado (82 horas académicas).</w:t>
            </w:r>
          </w:p>
          <w:p>
            <w:pPr>
              <w:pStyle w:val="TableParagraph"/>
              <w:spacing w:before="267"/>
              <w:ind w:right="148"/>
              <w:jc w:val="both"/>
              <w:rPr>
                <w:rFonts w:cs="Times New Roman"/>
                <w:sz w:val="20"/>
              </w:rPr>
            </w:pPr>
            <w:r>
              <w:rPr>
                <w:rFonts w:cs="Times New Roman"/>
                <w:sz w:val="20"/>
              </w:rPr>
              <w:t>Previo a la entrega de certificados, se evaluará la participación activa</w:t>
            </w:r>
            <w:r>
              <w:rPr>
                <w:rFonts w:cs="Times New Roman"/>
                <w:spacing w:val="-3"/>
                <w:sz w:val="20"/>
              </w:rPr>
              <w:t xml:space="preserve"> </w:t>
            </w:r>
            <w:r>
              <w:rPr>
                <w:rFonts w:cs="Times New Roman"/>
                <w:sz w:val="20"/>
              </w:rPr>
              <w:t>de</w:t>
            </w:r>
            <w:r>
              <w:rPr>
                <w:rFonts w:cs="Times New Roman"/>
                <w:spacing w:val="-3"/>
                <w:sz w:val="20"/>
              </w:rPr>
              <w:t xml:space="preserve"> </w:t>
            </w:r>
            <w:r>
              <w:rPr>
                <w:rFonts w:cs="Times New Roman"/>
                <w:sz w:val="20"/>
              </w:rPr>
              <w:t>cada</w:t>
            </w:r>
            <w:r>
              <w:rPr>
                <w:rFonts w:cs="Times New Roman"/>
                <w:spacing w:val="-1"/>
                <w:sz w:val="20"/>
              </w:rPr>
              <w:t xml:space="preserve"> </w:t>
            </w:r>
            <w:r>
              <w:rPr>
                <w:rFonts w:cs="Times New Roman"/>
                <w:sz w:val="20"/>
              </w:rPr>
              <w:t>miembro</w:t>
            </w:r>
            <w:r>
              <w:rPr>
                <w:rFonts w:cs="Times New Roman"/>
                <w:spacing w:val="-4"/>
                <w:sz w:val="20"/>
              </w:rPr>
              <w:t xml:space="preserve"> </w:t>
            </w:r>
            <w:r>
              <w:rPr>
                <w:rFonts w:cs="Times New Roman"/>
                <w:sz w:val="20"/>
              </w:rPr>
              <w:t>de</w:t>
            </w:r>
            <w:r>
              <w:rPr>
                <w:rFonts w:cs="Times New Roman"/>
                <w:spacing w:val="-2"/>
                <w:sz w:val="20"/>
              </w:rPr>
              <w:t xml:space="preserve"> </w:t>
            </w:r>
            <w:r>
              <w:rPr>
                <w:rFonts w:cs="Times New Roman"/>
                <w:sz w:val="20"/>
              </w:rPr>
              <w:t>la</w:t>
            </w:r>
            <w:r>
              <w:rPr>
                <w:rFonts w:cs="Times New Roman"/>
                <w:spacing w:val="-3"/>
                <w:sz w:val="20"/>
              </w:rPr>
              <w:t xml:space="preserve"> </w:t>
            </w:r>
            <w:r>
              <w:rPr>
                <w:rFonts w:cs="Times New Roman"/>
                <w:sz w:val="20"/>
              </w:rPr>
              <w:t>Unidad</w:t>
            </w:r>
            <w:r>
              <w:rPr>
                <w:rFonts w:cs="Times New Roman"/>
                <w:spacing w:val="-3"/>
                <w:sz w:val="20"/>
              </w:rPr>
              <w:t xml:space="preserve"> </w:t>
            </w:r>
            <w:r>
              <w:rPr>
                <w:rFonts w:cs="Times New Roman"/>
                <w:sz w:val="20"/>
              </w:rPr>
              <w:t>de</w:t>
            </w:r>
            <w:r>
              <w:rPr>
                <w:rFonts w:cs="Times New Roman"/>
                <w:spacing w:val="-4"/>
                <w:sz w:val="20"/>
              </w:rPr>
              <w:t xml:space="preserve"> </w:t>
            </w:r>
            <w:r>
              <w:rPr>
                <w:rFonts w:cs="Times New Roman"/>
                <w:sz w:val="20"/>
              </w:rPr>
              <w:t>Comunicación</w:t>
            </w:r>
            <w:r>
              <w:rPr>
                <w:rFonts w:cs="Times New Roman"/>
                <w:spacing w:val="-1"/>
                <w:sz w:val="20"/>
              </w:rPr>
              <w:t xml:space="preserve"> </w:t>
            </w:r>
            <w:r>
              <w:rPr>
                <w:rFonts w:cs="Times New Roman"/>
                <w:sz w:val="20"/>
              </w:rPr>
              <w:t>Social</w:t>
            </w:r>
            <w:r>
              <w:rPr>
                <w:rFonts w:cs="Times New Roman"/>
                <w:spacing w:val="-4"/>
                <w:sz w:val="20"/>
              </w:rPr>
              <w:t xml:space="preserve"> </w:t>
            </w:r>
            <w:r>
              <w:rPr>
                <w:rFonts w:cs="Times New Roman"/>
                <w:sz w:val="20"/>
              </w:rPr>
              <w:t xml:space="preserve">en la elaboración de la Estrategia de Comunicación Digital. Los funcionarios que superen los 70 puntos sobre 100 obtendrán la </w:t>
            </w:r>
            <w:r>
              <w:rPr>
                <w:rFonts w:cs="Times New Roman"/>
                <w:spacing w:val="-2"/>
                <w:sz w:val="20"/>
              </w:rPr>
              <w:t>certificación.</w:t>
            </w:r>
          </w:p>
          <w:p>
            <w:pPr>
              <w:pStyle w:val="TableParagraph"/>
              <w:spacing w:before="1"/>
              <w:rPr>
                <w:rFonts w:cs="Times New Roman"/>
                <w:b/>
                <w:sz w:val="20"/>
              </w:rPr>
            </w:pPr>
          </w:p>
          <w:p>
            <w:pPr>
              <w:pStyle w:val="TableParagraph"/>
              <w:ind w:right="147"/>
              <w:jc w:val="both"/>
              <w:rPr>
                <w:rFonts w:cs="Times New Roman"/>
                <w:color w:val="000000"/>
                <w:sz w:val="20"/>
              </w:rPr>
            </w:pPr>
            <w:r>
              <w:rPr>
                <w:rFonts w:cs="Times New Roman"/>
                <w:sz w:val="20"/>
              </w:rPr>
              <w:t>Una vez que el Contratista entregue los certificados, entregará un informe final con el reporte de todas las actividades desarrolladas</w:t>
            </w:r>
            <w:r>
              <w:rPr>
                <w:rFonts w:cs="Times New Roman"/>
                <w:spacing w:val="42"/>
                <w:sz w:val="20"/>
              </w:rPr>
              <w:t xml:space="preserve">  </w:t>
            </w:r>
            <w:r>
              <w:rPr>
                <w:rFonts w:cs="Times New Roman"/>
                <w:sz w:val="20"/>
              </w:rPr>
              <w:t>durante</w:t>
            </w:r>
            <w:r>
              <w:rPr>
                <w:rFonts w:cs="Times New Roman"/>
                <w:spacing w:val="41"/>
                <w:sz w:val="20"/>
              </w:rPr>
              <w:t xml:space="preserve">  </w:t>
            </w:r>
            <w:r>
              <w:rPr>
                <w:rFonts w:cs="Times New Roman"/>
                <w:sz w:val="20"/>
              </w:rPr>
              <w:t>la</w:t>
            </w:r>
            <w:r>
              <w:rPr>
                <w:rFonts w:cs="Times New Roman"/>
                <w:spacing w:val="42"/>
                <w:sz w:val="20"/>
              </w:rPr>
              <w:t xml:space="preserve">  </w:t>
            </w:r>
            <w:r>
              <w:rPr>
                <w:rFonts w:cs="Times New Roman"/>
                <w:sz w:val="20"/>
              </w:rPr>
              <w:t>ejecución</w:t>
            </w:r>
            <w:r>
              <w:rPr>
                <w:rFonts w:cs="Times New Roman"/>
                <w:spacing w:val="42"/>
                <w:sz w:val="20"/>
              </w:rPr>
              <w:t xml:space="preserve">  </w:t>
            </w:r>
            <w:r>
              <w:rPr>
                <w:rFonts w:cs="Times New Roman"/>
                <w:sz w:val="20"/>
              </w:rPr>
              <w:t>del</w:t>
            </w:r>
            <w:r>
              <w:rPr>
                <w:rFonts w:cs="Times New Roman"/>
                <w:spacing w:val="70"/>
                <w:w w:val="150"/>
                <w:sz w:val="20"/>
              </w:rPr>
              <w:t xml:space="preserve"> </w:t>
            </w:r>
            <w:r>
              <w:rPr>
                <w:rFonts w:cs="Times New Roman"/>
                <w:sz w:val="20"/>
              </w:rPr>
              <w:t>contrato</w:t>
            </w:r>
            <w:r>
              <w:rPr>
                <w:rFonts w:cs="Times New Roman"/>
                <w:spacing w:val="67"/>
                <w:w w:val="150"/>
                <w:sz w:val="20"/>
              </w:rPr>
              <w:t xml:space="preserve"> </w:t>
            </w:r>
            <w:r>
              <w:rPr>
                <w:rFonts w:cs="Times New Roman"/>
                <w:sz w:val="20"/>
              </w:rPr>
              <w:t>con</w:t>
            </w:r>
            <w:r>
              <w:rPr>
                <w:rFonts w:cs="Times New Roman"/>
                <w:spacing w:val="68"/>
                <w:w w:val="150"/>
                <w:sz w:val="20"/>
              </w:rPr>
              <w:t xml:space="preserve"> </w:t>
            </w:r>
            <w:r>
              <w:rPr>
                <w:rFonts w:cs="Times New Roman"/>
                <w:spacing w:val="-5"/>
                <w:sz w:val="20"/>
              </w:rPr>
              <w:t xml:space="preserve">sus </w:t>
            </w:r>
            <w:r>
              <w:rPr>
                <w:rFonts w:cs="Times New Roman"/>
                <w:spacing w:val="-4"/>
                <w:sz w:val="20"/>
              </w:rPr>
              <w:t>respectivos</w:t>
            </w:r>
            <w:r>
              <w:rPr>
                <w:rFonts w:cs="Times New Roman"/>
                <w:spacing w:val="10"/>
                <w:sz w:val="20"/>
              </w:rPr>
              <w:t xml:space="preserve"> </w:t>
            </w:r>
            <w:r>
              <w:rPr>
                <w:rFonts w:cs="Times New Roman"/>
                <w:spacing w:val="-4"/>
                <w:sz w:val="20"/>
              </w:rPr>
              <w:t>verificables</w:t>
            </w:r>
            <w:r>
              <w:rPr>
                <w:rFonts w:cs="Times New Roman"/>
                <w:spacing w:val="11"/>
                <w:sz w:val="20"/>
              </w:rPr>
              <w:t xml:space="preserve"> </w:t>
            </w:r>
            <w:r>
              <w:rPr>
                <w:rFonts w:cs="Times New Roman"/>
                <w:spacing w:val="-4"/>
                <w:sz w:val="20"/>
              </w:rPr>
              <w:t>(documentos,</w:t>
            </w:r>
            <w:r>
              <w:rPr>
                <w:rFonts w:cs="Times New Roman"/>
                <w:spacing w:val="9"/>
                <w:sz w:val="20"/>
              </w:rPr>
              <w:t xml:space="preserve"> </w:t>
            </w:r>
            <w:r>
              <w:rPr>
                <w:rFonts w:cs="Times New Roman"/>
                <w:spacing w:val="-4"/>
                <w:sz w:val="20"/>
              </w:rPr>
              <w:t>fotos,</w:t>
            </w:r>
            <w:r>
              <w:rPr>
                <w:rFonts w:cs="Times New Roman"/>
                <w:spacing w:val="10"/>
                <w:sz w:val="20"/>
              </w:rPr>
              <w:t xml:space="preserve"> </w:t>
            </w:r>
            <w:r>
              <w:rPr>
                <w:rFonts w:cs="Times New Roman"/>
                <w:spacing w:val="-4"/>
                <w:sz w:val="20"/>
              </w:rPr>
              <w:t>etc.).</w:t>
            </w:r>
          </w:p>
        </w:tc>
        <w:tc>
          <w:tcPr>
            <w:tcW w:w="393" w:type="pct"/>
            <w:vMerge/>
            <w:shd w:val="clear" w:color="auto" w:fill="auto"/>
            <w:vAlign w:val="bottom"/>
          </w:tcPr>
          <w:p>
            <w:pPr>
              <w:rPr>
                <w:color w:val="000000"/>
                <w:sz w:val="20"/>
                <w:szCs w:val="22"/>
              </w:rPr>
            </w:pPr>
          </w:p>
        </w:tc>
        <w:tc>
          <w:tcPr>
            <w:tcW w:w="503" w:type="pct"/>
            <w:vMerge/>
            <w:shd w:val="clear" w:color="auto" w:fill="auto"/>
            <w:vAlign w:val="bottom"/>
          </w:tcPr>
          <w:p>
            <w:pPr>
              <w:jc w:val="right"/>
              <w:rPr>
                <w:color w:val="000000"/>
                <w:sz w:val="20"/>
                <w:szCs w:val="22"/>
              </w:rPr>
            </w:pPr>
          </w:p>
        </w:tc>
        <w:tc>
          <w:tcPr>
            <w:tcW w:w="507" w:type="pct"/>
            <w:vMerge/>
            <w:shd w:val="clear" w:color="auto" w:fill="auto"/>
            <w:vAlign w:val="bottom"/>
          </w:tcPr>
          <w:p>
            <w:pPr>
              <w:jc w:val="right"/>
              <w:rPr>
                <w:color w:val="000000"/>
                <w:sz w:val="20"/>
                <w:szCs w:val="22"/>
              </w:rPr>
            </w:pPr>
          </w:p>
        </w:tc>
        <w:tc>
          <w:tcPr>
            <w:tcW w:w="384" w:type="pct"/>
            <w:vMerge/>
            <w:shd w:val="clear" w:color="auto" w:fill="auto"/>
            <w:vAlign w:val="bottom"/>
          </w:tcPr>
          <w:p>
            <w:pPr>
              <w:jc w:val="right"/>
              <w:rPr>
                <w:bCs/>
                <w:color w:val="000000"/>
                <w:sz w:val="20"/>
                <w:szCs w:val="22"/>
              </w:rPr>
            </w:pPr>
          </w:p>
        </w:tc>
      </w:tr>
      <w:tr>
        <w:trPr>
          <w:trHeight w:val="420"/>
        </w:trPr>
        <w:tc>
          <w:tcPr>
            <w:tcW w:w="354" w:type="pct"/>
            <w:tcBorders>
              <w:top w:val="single" w:sz="4" w:space="0" w:color="auto"/>
              <w:left w:val="nil"/>
              <w:bottom w:val="nil"/>
              <w:right w:val="nil"/>
            </w:tcBorders>
            <w:shd w:val="clear" w:color="auto" w:fill="auto"/>
            <w:vAlign w:val="bottom"/>
            <w:hideMark/>
          </w:tcPr>
          <w:p>
            <w:pPr>
              <w:jc w:val="right"/>
              <w:rPr>
                <w:b/>
                <w:bCs/>
                <w:color w:val="000000"/>
                <w:sz w:val="20"/>
                <w:szCs w:val="22"/>
              </w:rPr>
            </w:pPr>
          </w:p>
        </w:tc>
        <w:tc>
          <w:tcPr>
            <w:tcW w:w="2859" w:type="pct"/>
            <w:tcBorders>
              <w:top w:val="single" w:sz="4" w:space="0" w:color="auto"/>
              <w:left w:val="nil"/>
              <w:bottom w:val="nil"/>
              <w:right w:val="nil"/>
            </w:tcBorders>
            <w:shd w:val="clear" w:color="auto" w:fill="auto"/>
            <w:vAlign w:val="bottom"/>
            <w:hideMark/>
          </w:tcPr>
          <w:p>
            <w:pPr>
              <w:rPr>
                <w:sz w:val="20"/>
                <w:szCs w:val="22"/>
              </w:rPr>
            </w:pPr>
          </w:p>
        </w:tc>
        <w:tc>
          <w:tcPr>
            <w:tcW w:w="393" w:type="pct"/>
            <w:tcBorders>
              <w:top w:val="single" w:sz="4" w:space="0" w:color="auto"/>
              <w:left w:val="nil"/>
              <w:bottom w:val="nil"/>
              <w:right w:val="nil"/>
            </w:tcBorders>
            <w:shd w:val="clear" w:color="auto" w:fill="auto"/>
            <w:vAlign w:val="bottom"/>
            <w:hideMark/>
          </w:tcPr>
          <w:p>
            <w:pPr>
              <w:rPr>
                <w:sz w:val="20"/>
                <w:szCs w:val="22"/>
              </w:rPr>
            </w:pPr>
          </w:p>
        </w:tc>
        <w:tc>
          <w:tcPr>
            <w:tcW w:w="503" w:type="pct"/>
            <w:tcBorders>
              <w:top w:val="single" w:sz="4" w:space="0" w:color="auto"/>
              <w:left w:val="nil"/>
              <w:bottom w:val="nil"/>
              <w:right w:val="single" w:sz="4" w:space="0" w:color="auto"/>
            </w:tcBorders>
            <w:shd w:val="clear" w:color="auto" w:fill="auto"/>
            <w:vAlign w:val="bottom"/>
            <w:hideMark/>
          </w:tcPr>
          <w:p>
            <w:pPr>
              <w:rPr>
                <w:sz w:val="20"/>
                <w:szCs w:val="22"/>
              </w:rPr>
            </w:pPr>
          </w:p>
        </w:tc>
        <w:tc>
          <w:tcPr>
            <w:tcW w:w="507" w:type="pct"/>
            <w:tcBorders>
              <w:top w:val="single" w:sz="4" w:space="0" w:color="auto"/>
              <w:left w:val="single" w:sz="4" w:space="0" w:color="auto"/>
            </w:tcBorders>
            <w:shd w:val="clear" w:color="auto" w:fill="auto"/>
            <w:vAlign w:val="center"/>
            <w:hideMark/>
          </w:tcPr>
          <w:p>
            <w:pPr>
              <w:jc w:val="center"/>
              <w:rPr>
                <w:b/>
                <w:bCs/>
                <w:color w:val="000000"/>
                <w:sz w:val="20"/>
                <w:szCs w:val="22"/>
              </w:rPr>
            </w:pPr>
            <w:r>
              <w:rPr>
                <w:b/>
                <w:bCs/>
                <w:color w:val="000000"/>
                <w:sz w:val="20"/>
                <w:szCs w:val="22"/>
              </w:rPr>
              <w:t xml:space="preserve">SUBTOTAL </w:t>
            </w:r>
            <w:r>
              <w:rPr>
                <w:b/>
                <w:bCs/>
                <w:color w:val="000000"/>
                <w:sz w:val="20"/>
                <w:szCs w:val="22"/>
              </w:rPr>
              <w:br/>
            </w:r>
            <w:r>
              <w:rPr>
                <w:color w:val="000000"/>
                <w:sz w:val="20"/>
                <w:szCs w:val="22"/>
              </w:rPr>
              <w:t>(d)</w:t>
            </w:r>
          </w:p>
        </w:tc>
        <w:tc>
          <w:tcPr>
            <w:tcW w:w="384" w:type="pct"/>
            <w:shd w:val="clear" w:color="auto" w:fill="auto"/>
            <w:vAlign w:val="center"/>
          </w:tcPr>
          <w:p>
            <w:pPr>
              <w:jc w:val="center"/>
              <w:rPr>
                <w:b/>
                <w:bCs/>
                <w:color w:val="000000"/>
                <w:sz w:val="20"/>
                <w:szCs w:val="22"/>
              </w:rPr>
            </w:pPr>
            <w:r>
              <w:rPr>
                <w:color w:val="000000"/>
                <w:sz w:val="20"/>
                <w:szCs w:val="22"/>
              </w:rPr>
              <w:t>9.442.00</w:t>
            </w:r>
          </w:p>
        </w:tc>
      </w:tr>
      <w:tr>
        <w:trPr>
          <w:trHeight w:val="420"/>
        </w:trPr>
        <w:tc>
          <w:tcPr>
            <w:tcW w:w="354" w:type="pct"/>
            <w:tcBorders>
              <w:top w:val="nil"/>
              <w:left w:val="nil"/>
              <w:bottom w:val="nil"/>
              <w:right w:val="nil"/>
            </w:tcBorders>
            <w:shd w:val="clear" w:color="auto" w:fill="auto"/>
            <w:vAlign w:val="bottom"/>
            <w:hideMark/>
          </w:tcPr>
          <w:p>
            <w:pPr>
              <w:jc w:val="center"/>
              <w:rPr>
                <w:b/>
                <w:bCs/>
                <w:color w:val="000000"/>
                <w:sz w:val="20"/>
                <w:szCs w:val="22"/>
              </w:rPr>
            </w:pPr>
          </w:p>
        </w:tc>
        <w:tc>
          <w:tcPr>
            <w:tcW w:w="2859" w:type="pct"/>
            <w:tcBorders>
              <w:top w:val="nil"/>
              <w:left w:val="nil"/>
              <w:bottom w:val="nil"/>
              <w:right w:val="nil"/>
            </w:tcBorders>
            <w:shd w:val="clear" w:color="auto" w:fill="auto"/>
            <w:vAlign w:val="bottom"/>
            <w:hideMark/>
          </w:tcPr>
          <w:p>
            <w:pPr>
              <w:rPr>
                <w:sz w:val="20"/>
                <w:szCs w:val="22"/>
              </w:rPr>
            </w:pPr>
          </w:p>
        </w:tc>
        <w:tc>
          <w:tcPr>
            <w:tcW w:w="393" w:type="pct"/>
            <w:tcBorders>
              <w:top w:val="nil"/>
              <w:left w:val="nil"/>
              <w:bottom w:val="nil"/>
              <w:right w:val="nil"/>
            </w:tcBorders>
            <w:shd w:val="clear" w:color="auto" w:fill="auto"/>
            <w:vAlign w:val="bottom"/>
            <w:hideMark/>
          </w:tcPr>
          <w:p>
            <w:pPr>
              <w:rPr>
                <w:sz w:val="20"/>
                <w:szCs w:val="22"/>
              </w:rPr>
            </w:pPr>
          </w:p>
        </w:tc>
        <w:tc>
          <w:tcPr>
            <w:tcW w:w="503" w:type="pct"/>
            <w:tcBorders>
              <w:top w:val="nil"/>
              <w:left w:val="nil"/>
              <w:bottom w:val="nil"/>
              <w:right w:val="single" w:sz="4" w:space="0" w:color="auto"/>
            </w:tcBorders>
            <w:shd w:val="clear" w:color="auto" w:fill="auto"/>
            <w:vAlign w:val="bottom"/>
            <w:hideMark/>
          </w:tcPr>
          <w:p>
            <w:pPr>
              <w:rPr>
                <w:sz w:val="20"/>
                <w:szCs w:val="22"/>
              </w:rPr>
            </w:pPr>
          </w:p>
        </w:tc>
        <w:tc>
          <w:tcPr>
            <w:tcW w:w="507" w:type="pct"/>
            <w:tcBorders>
              <w:left w:val="single" w:sz="4" w:space="0" w:color="auto"/>
            </w:tcBorders>
            <w:shd w:val="clear" w:color="auto" w:fill="auto"/>
            <w:vAlign w:val="center"/>
            <w:hideMark/>
          </w:tcPr>
          <w:p>
            <w:pPr>
              <w:jc w:val="center"/>
              <w:rPr>
                <w:color w:val="000000"/>
                <w:sz w:val="20"/>
                <w:szCs w:val="22"/>
              </w:rPr>
            </w:pPr>
            <w:r>
              <w:rPr>
                <w:b/>
                <w:bCs/>
                <w:color w:val="000000"/>
                <w:sz w:val="20"/>
                <w:szCs w:val="22"/>
              </w:rPr>
              <w:t>IVA 0%</w:t>
            </w:r>
            <w:r>
              <w:rPr>
                <w:color w:val="000000"/>
                <w:sz w:val="20"/>
                <w:szCs w:val="22"/>
              </w:rPr>
              <w:br/>
              <w:t>(e)</w:t>
            </w:r>
          </w:p>
        </w:tc>
        <w:tc>
          <w:tcPr>
            <w:tcW w:w="384" w:type="pct"/>
            <w:shd w:val="clear" w:color="auto" w:fill="auto"/>
            <w:vAlign w:val="center"/>
            <w:hideMark/>
          </w:tcPr>
          <w:p>
            <w:pPr>
              <w:jc w:val="center"/>
              <w:rPr>
                <w:color w:val="000000"/>
                <w:sz w:val="20"/>
                <w:szCs w:val="22"/>
              </w:rPr>
            </w:pPr>
            <w:r>
              <w:rPr>
                <w:color w:val="000000"/>
                <w:sz w:val="20"/>
                <w:szCs w:val="22"/>
              </w:rPr>
              <w:t>0</w:t>
            </w:r>
          </w:p>
        </w:tc>
      </w:tr>
      <w:tr>
        <w:trPr>
          <w:trHeight w:val="420"/>
        </w:trPr>
        <w:tc>
          <w:tcPr>
            <w:tcW w:w="354" w:type="pct"/>
            <w:tcBorders>
              <w:top w:val="nil"/>
              <w:left w:val="nil"/>
              <w:bottom w:val="nil"/>
              <w:right w:val="nil"/>
            </w:tcBorders>
            <w:shd w:val="clear" w:color="auto" w:fill="auto"/>
            <w:vAlign w:val="bottom"/>
            <w:hideMark/>
          </w:tcPr>
          <w:p>
            <w:pPr>
              <w:jc w:val="center"/>
              <w:rPr>
                <w:color w:val="000000"/>
                <w:sz w:val="20"/>
                <w:szCs w:val="22"/>
              </w:rPr>
            </w:pPr>
          </w:p>
        </w:tc>
        <w:tc>
          <w:tcPr>
            <w:tcW w:w="2859" w:type="pct"/>
            <w:tcBorders>
              <w:top w:val="nil"/>
              <w:left w:val="nil"/>
              <w:bottom w:val="nil"/>
              <w:right w:val="nil"/>
            </w:tcBorders>
            <w:shd w:val="clear" w:color="auto" w:fill="auto"/>
            <w:vAlign w:val="bottom"/>
            <w:hideMark/>
          </w:tcPr>
          <w:p>
            <w:pPr>
              <w:rPr>
                <w:sz w:val="20"/>
                <w:szCs w:val="22"/>
              </w:rPr>
            </w:pPr>
          </w:p>
        </w:tc>
        <w:tc>
          <w:tcPr>
            <w:tcW w:w="393" w:type="pct"/>
            <w:tcBorders>
              <w:top w:val="nil"/>
              <w:left w:val="nil"/>
              <w:bottom w:val="nil"/>
              <w:right w:val="nil"/>
            </w:tcBorders>
            <w:shd w:val="clear" w:color="auto" w:fill="auto"/>
            <w:vAlign w:val="bottom"/>
            <w:hideMark/>
          </w:tcPr>
          <w:p>
            <w:pPr>
              <w:rPr>
                <w:sz w:val="20"/>
                <w:szCs w:val="22"/>
              </w:rPr>
            </w:pPr>
          </w:p>
        </w:tc>
        <w:tc>
          <w:tcPr>
            <w:tcW w:w="503" w:type="pct"/>
            <w:tcBorders>
              <w:top w:val="nil"/>
              <w:left w:val="nil"/>
              <w:bottom w:val="nil"/>
              <w:right w:val="single" w:sz="4" w:space="0" w:color="auto"/>
            </w:tcBorders>
            <w:shd w:val="clear" w:color="auto" w:fill="auto"/>
            <w:vAlign w:val="bottom"/>
            <w:hideMark/>
          </w:tcPr>
          <w:p>
            <w:pPr>
              <w:rPr>
                <w:sz w:val="20"/>
                <w:szCs w:val="22"/>
              </w:rPr>
            </w:pPr>
          </w:p>
        </w:tc>
        <w:tc>
          <w:tcPr>
            <w:tcW w:w="507" w:type="pct"/>
            <w:tcBorders>
              <w:left w:val="single" w:sz="4" w:space="0" w:color="auto"/>
            </w:tcBorders>
            <w:shd w:val="clear" w:color="auto" w:fill="auto"/>
            <w:vAlign w:val="center"/>
            <w:hideMark/>
          </w:tcPr>
          <w:p>
            <w:pPr>
              <w:jc w:val="center"/>
              <w:rPr>
                <w:color w:val="000000"/>
                <w:sz w:val="20"/>
                <w:szCs w:val="22"/>
              </w:rPr>
            </w:pPr>
            <w:r>
              <w:rPr>
                <w:b/>
                <w:bCs/>
                <w:color w:val="000000"/>
                <w:sz w:val="20"/>
                <w:szCs w:val="22"/>
              </w:rPr>
              <w:t>TOTAL</w:t>
            </w:r>
            <w:r>
              <w:rPr>
                <w:color w:val="000000"/>
                <w:sz w:val="20"/>
                <w:szCs w:val="22"/>
              </w:rPr>
              <w:br/>
              <w:t>(f)</w:t>
            </w:r>
          </w:p>
        </w:tc>
        <w:tc>
          <w:tcPr>
            <w:tcW w:w="384" w:type="pct"/>
            <w:shd w:val="clear" w:color="auto" w:fill="auto"/>
            <w:vAlign w:val="center"/>
            <w:hideMark/>
          </w:tcPr>
          <w:p>
            <w:pPr>
              <w:jc w:val="center"/>
              <w:rPr>
                <w:b/>
                <w:bCs/>
                <w:color w:val="000000"/>
                <w:sz w:val="20"/>
                <w:szCs w:val="22"/>
              </w:rPr>
            </w:pPr>
            <w:r>
              <w:rPr>
                <w:color w:val="000000"/>
                <w:sz w:val="20"/>
                <w:szCs w:val="22"/>
              </w:rPr>
              <w:t>9.442.00</w:t>
            </w:r>
          </w:p>
        </w:tc>
      </w:tr>
    </w:tbl>
    <w:p>
      <w:pPr>
        <w:keepNext/>
        <w:keepLines/>
        <w:jc w:val="both"/>
        <w:rPr>
          <w:spacing w:val="-3"/>
          <w:sz w:val="22"/>
          <w:szCs w:val="22"/>
          <w:lang w:val="es-ES_tradnl"/>
        </w:rPr>
      </w:pPr>
    </w:p>
    <w:p>
      <w:pPr>
        <w:keepNext/>
        <w:keepLines/>
        <w:jc w:val="both"/>
        <w:rPr>
          <w:b/>
          <w:bCs/>
          <w:sz w:val="22"/>
          <w:szCs w:val="22"/>
        </w:rPr>
      </w:pPr>
    </w:p>
    <w:p>
      <w:pPr>
        <w:rPr>
          <w:lang w:val="es-ES"/>
        </w:rPr>
      </w:pPr>
    </w:p>
    <w:p>
      <w:pPr>
        <w:rPr>
          <w:lang w:val="es-ES"/>
        </w:rPr>
      </w:pPr>
      <w:r>
        <w:rPr>
          <w:lang w:val="es-ES"/>
        </w:rPr>
        <w:br w:type="page"/>
      </w:r>
    </w:p>
    <w:p>
      <w:pPr>
        <w:tabs>
          <w:tab w:val="left" w:pos="720"/>
          <w:tab w:val="right" w:leader="dot" w:pos="8640"/>
        </w:tabs>
        <w:jc w:val="center"/>
        <w:rPr>
          <w:b/>
          <w:spacing w:val="-3"/>
          <w:sz w:val="20"/>
          <w:szCs w:val="20"/>
          <w:lang w:val="es-ES_tradnl"/>
        </w:rPr>
      </w:pPr>
      <w:r>
        <w:rPr>
          <w:b/>
          <w:spacing w:val="-3"/>
          <w:sz w:val="20"/>
          <w:szCs w:val="20"/>
          <w:lang w:val="es-ES_tradnl"/>
        </w:rPr>
        <w:lastRenderedPageBreak/>
        <w:t xml:space="preserve">2. LISTA DE SERVICIOS DIFERENTES DE CONSULTORÍA Y CRONOGRAMA DE ENTREGAS </w:t>
      </w:r>
    </w:p>
    <w:p>
      <w:pPr>
        <w:keepNext/>
        <w:keepLines/>
        <w:jc w:val="both"/>
        <w:rPr>
          <w:i/>
          <w:iCs/>
          <w:color w:val="548DD4"/>
          <w:spacing w:val="-3"/>
          <w:sz w:val="20"/>
          <w:szCs w:val="20"/>
          <w:lang w:val="es-ES_tradnl"/>
        </w:rPr>
      </w:pPr>
    </w:p>
    <w:tbl>
      <w:tblPr>
        <w:tblW w:w="14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3243"/>
        <w:gridCol w:w="1133"/>
        <w:gridCol w:w="909"/>
        <w:gridCol w:w="2251"/>
        <w:gridCol w:w="1418"/>
        <w:gridCol w:w="2126"/>
        <w:gridCol w:w="2011"/>
      </w:tblGrid>
      <w:tr>
        <w:trPr>
          <w:trHeight w:val="290"/>
        </w:trPr>
        <w:tc>
          <w:tcPr>
            <w:tcW w:w="969" w:type="dxa"/>
            <w:vMerge w:val="restart"/>
            <w:shd w:val="clear" w:color="auto" w:fill="auto"/>
            <w:vAlign w:val="center"/>
            <w:hideMark/>
          </w:tcPr>
          <w:p>
            <w:pPr>
              <w:jc w:val="center"/>
              <w:rPr>
                <w:b/>
                <w:bCs/>
                <w:color w:val="000000"/>
                <w:sz w:val="20"/>
                <w:szCs w:val="20"/>
              </w:rPr>
            </w:pPr>
            <w:r>
              <w:rPr>
                <w:b/>
                <w:bCs/>
                <w:color w:val="000000"/>
                <w:sz w:val="20"/>
                <w:szCs w:val="20"/>
              </w:rPr>
              <w:t>N° de Artículo</w:t>
            </w:r>
          </w:p>
        </w:tc>
        <w:tc>
          <w:tcPr>
            <w:tcW w:w="3243" w:type="dxa"/>
            <w:vMerge w:val="restart"/>
            <w:shd w:val="clear" w:color="auto" w:fill="auto"/>
            <w:vAlign w:val="center"/>
            <w:hideMark/>
          </w:tcPr>
          <w:p>
            <w:pPr>
              <w:jc w:val="center"/>
              <w:rPr>
                <w:b/>
                <w:bCs/>
                <w:color w:val="000000"/>
                <w:sz w:val="20"/>
                <w:szCs w:val="20"/>
              </w:rPr>
            </w:pPr>
            <w:r>
              <w:rPr>
                <w:b/>
                <w:bCs/>
                <w:color w:val="000000"/>
                <w:sz w:val="20"/>
                <w:szCs w:val="20"/>
              </w:rPr>
              <w:t>Descripción de los Servicios de No Consultoría</w:t>
            </w:r>
          </w:p>
        </w:tc>
        <w:tc>
          <w:tcPr>
            <w:tcW w:w="1133" w:type="dxa"/>
            <w:vMerge w:val="restart"/>
            <w:shd w:val="clear" w:color="auto" w:fill="auto"/>
            <w:vAlign w:val="center"/>
            <w:hideMark/>
          </w:tcPr>
          <w:p>
            <w:pPr>
              <w:jc w:val="center"/>
              <w:rPr>
                <w:b/>
                <w:bCs/>
                <w:color w:val="000000"/>
                <w:sz w:val="20"/>
                <w:szCs w:val="20"/>
              </w:rPr>
            </w:pPr>
            <w:r>
              <w:rPr>
                <w:b/>
                <w:bCs/>
                <w:color w:val="000000"/>
                <w:sz w:val="20"/>
                <w:szCs w:val="20"/>
              </w:rPr>
              <w:t>Cantidad</w:t>
            </w:r>
          </w:p>
        </w:tc>
        <w:tc>
          <w:tcPr>
            <w:tcW w:w="909" w:type="dxa"/>
            <w:vMerge w:val="restart"/>
            <w:shd w:val="clear" w:color="auto" w:fill="auto"/>
            <w:vAlign w:val="center"/>
            <w:hideMark/>
          </w:tcPr>
          <w:p>
            <w:pPr>
              <w:jc w:val="center"/>
              <w:rPr>
                <w:b/>
                <w:bCs/>
                <w:color w:val="000000"/>
                <w:sz w:val="20"/>
                <w:szCs w:val="20"/>
              </w:rPr>
            </w:pPr>
            <w:r>
              <w:rPr>
                <w:b/>
                <w:bCs/>
                <w:color w:val="000000"/>
                <w:sz w:val="20"/>
                <w:szCs w:val="20"/>
              </w:rPr>
              <w:t>Unidad física</w:t>
            </w:r>
          </w:p>
        </w:tc>
        <w:tc>
          <w:tcPr>
            <w:tcW w:w="2251" w:type="dxa"/>
            <w:vMerge w:val="restart"/>
            <w:shd w:val="clear" w:color="auto" w:fill="auto"/>
            <w:vAlign w:val="center"/>
            <w:hideMark/>
          </w:tcPr>
          <w:p>
            <w:pPr>
              <w:jc w:val="center"/>
              <w:rPr>
                <w:b/>
                <w:bCs/>
                <w:color w:val="000000"/>
                <w:sz w:val="20"/>
                <w:szCs w:val="20"/>
              </w:rPr>
            </w:pPr>
            <w:r>
              <w:rPr>
                <w:b/>
                <w:bCs/>
                <w:color w:val="000000"/>
                <w:sz w:val="20"/>
                <w:szCs w:val="20"/>
              </w:rPr>
              <w:t>Lugar de entrega final, según se indica en los DDL</w:t>
            </w:r>
          </w:p>
        </w:tc>
        <w:tc>
          <w:tcPr>
            <w:tcW w:w="5555" w:type="dxa"/>
            <w:gridSpan w:val="3"/>
            <w:shd w:val="clear" w:color="auto" w:fill="auto"/>
            <w:vAlign w:val="center"/>
            <w:hideMark/>
          </w:tcPr>
          <w:p>
            <w:pPr>
              <w:jc w:val="center"/>
              <w:rPr>
                <w:b/>
                <w:bCs/>
                <w:color w:val="000000"/>
                <w:sz w:val="20"/>
                <w:szCs w:val="20"/>
              </w:rPr>
            </w:pPr>
            <w:r>
              <w:rPr>
                <w:b/>
                <w:bCs/>
                <w:color w:val="000000"/>
                <w:sz w:val="20"/>
                <w:szCs w:val="20"/>
              </w:rPr>
              <w:t xml:space="preserve">Fecha de Entrega </w:t>
            </w:r>
          </w:p>
        </w:tc>
      </w:tr>
      <w:tr>
        <w:trPr>
          <w:trHeight w:val="420"/>
        </w:trPr>
        <w:tc>
          <w:tcPr>
            <w:tcW w:w="969" w:type="dxa"/>
            <w:vMerge/>
            <w:vAlign w:val="center"/>
            <w:hideMark/>
          </w:tcPr>
          <w:p>
            <w:pPr>
              <w:rPr>
                <w:b/>
                <w:bCs/>
                <w:color w:val="000000"/>
                <w:sz w:val="20"/>
                <w:szCs w:val="20"/>
              </w:rPr>
            </w:pPr>
          </w:p>
        </w:tc>
        <w:tc>
          <w:tcPr>
            <w:tcW w:w="3243" w:type="dxa"/>
            <w:vMerge/>
            <w:vAlign w:val="center"/>
            <w:hideMark/>
          </w:tcPr>
          <w:p>
            <w:pPr>
              <w:rPr>
                <w:b/>
                <w:bCs/>
                <w:color w:val="000000"/>
                <w:sz w:val="20"/>
                <w:szCs w:val="20"/>
              </w:rPr>
            </w:pPr>
          </w:p>
        </w:tc>
        <w:tc>
          <w:tcPr>
            <w:tcW w:w="1133" w:type="dxa"/>
            <w:vMerge/>
            <w:vAlign w:val="center"/>
            <w:hideMark/>
          </w:tcPr>
          <w:p>
            <w:pPr>
              <w:rPr>
                <w:b/>
                <w:bCs/>
                <w:color w:val="000000"/>
                <w:sz w:val="20"/>
                <w:szCs w:val="20"/>
              </w:rPr>
            </w:pPr>
          </w:p>
        </w:tc>
        <w:tc>
          <w:tcPr>
            <w:tcW w:w="909" w:type="dxa"/>
            <w:vMerge/>
            <w:vAlign w:val="center"/>
            <w:hideMark/>
          </w:tcPr>
          <w:p>
            <w:pPr>
              <w:rPr>
                <w:b/>
                <w:bCs/>
                <w:color w:val="000000"/>
                <w:sz w:val="20"/>
                <w:szCs w:val="20"/>
              </w:rPr>
            </w:pPr>
          </w:p>
        </w:tc>
        <w:tc>
          <w:tcPr>
            <w:tcW w:w="2251" w:type="dxa"/>
            <w:vMerge/>
            <w:vAlign w:val="center"/>
            <w:hideMark/>
          </w:tcPr>
          <w:p>
            <w:pPr>
              <w:rPr>
                <w:b/>
                <w:bCs/>
                <w:color w:val="000000"/>
                <w:sz w:val="20"/>
                <w:szCs w:val="20"/>
              </w:rPr>
            </w:pPr>
          </w:p>
        </w:tc>
        <w:tc>
          <w:tcPr>
            <w:tcW w:w="1418" w:type="dxa"/>
            <w:shd w:val="clear" w:color="auto" w:fill="auto"/>
            <w:vAlign w:val="center"/>
            <w:hideMark/>
          </w:tcPr>
          <w:p>
            <w:pPr>
              <w:spacing w:before="60" w:after="60"/>
              <w:jc w:val="center"/>
              <w:rPr>
                <w:b/>
                <w:bCs/>
                <w:sz w:val="20"/>
                <w:szCs w:val="20"/>
              </w:rPr>
            </w:pPr>
            <w:r>
              <w:rPr>
                <w:b/>
                <w:bCs/>
                <w:sz w:val="20"/>
                <w:szCs w:val="20"/>
              </w:rPr>
              <w:t>Fecha más temprana de entrega</w:t>
            </w:r>
          </w:p>
          <w:p>
            <w:pPr>
              <w:jc w:val="center"/>
              <w:rPr>
                <w:b/>
                <w:bCs/>
                <w:color w:val="000000"/>
                <w:sz w:val="20"/>
                <w:szCs w:val="20"/>
              </w:rPr>
            </w:pPr>
            <w:r>
              <w:rPr>
                <w:b/>
                <w:bCs/>
                <w:sz w:val="20"/>
                <w:szCs w:val="20"/>
              </w:rPr>
              <w:t>(inicio)</w:t>
            </w:r>
          </w:p>
        </w:tc>
        <w:tc>
          <w:tcPr>
            <w:tcW w:w="2126" w:type="dxa"/>
            <w:shd w:val="clear" w:color="auto" w:fill="auto"/>
            <w:vAlign w:val="center"/>
            <w:hideMark/>
          </w:tcPr>
          <w:p>
            <w:pPr>
              <w:spacing w:before="60" w:after="60"/>
              <w:jc w:val="center"/>
              <w:rPr>
                <w:b/>
                <w:bCs/>
                <w:sz w:val="20"/>
                <w:szCs w:val="20"/>
              </w:rPr>
            </w:pPr>
            <w:r>
              <w:rPr>
                <w:b/>
                <w:bCs/>
                <w:sz w:val="20"/>
                <w:szCs w:val="20"/>
              </w:rPr>
              <w:t xml:space="preserve">Fecha límite de entrega </w:t>
            </w:r>
          </w:p>
          <w:p>
            <w:pPr>
              <w:jc w:val="center"/>
              <w:rPr>
                <w:b/>
                <w:bCs/>
                <w:color w:val="000000"/>
                <w:sz w:val="20"/>
                <w:szCs w:val="20"/>
              </w:rPr>
            </w:pPr>
            <w:r>
              <w:rPr>
                <w:b/>
                <w:bCs/>
                <w:sz w:val="20"/>
                <w:szCs w:val="20"/>
              </w:rPr>
              <w:t>(finalización)</w:t>
            </w:r>
          </w:p>
        </w:tc>
        <w:tc>
          <w:tcPr>
            <w:tcW w:w="2011" w:type="dxa"/>
            <w:shd w:val="clear" w:color="auto" w:fill="auto"/>
            <w:vAlign w:val="center"/>
            <w:hideMark/>
          </w:tcPr>
          <w:p>
            <w:pPr>
              <w:jc w:val="center"/>
              <w:rPr>
                <w:b/>
                <w:bCs/>
                <w:color w:val="000000"/>
                <w:sz w:val="20"/>
                <w:szCs w:val="20"/>
              </w:rPr>
            </w:pPr>
            <w:r>
              <w:rPr>
                <w:b/>
                <w:bCs/>
                <w:color w:val="000000"/>
                <w:sz w:val="20"/>
                <w:szCs w:val="20"/>
              </w:rPr>
              <w:t>Plazo de Ejecución</w:t>
            </w:r>
          </w:p>
        </w:tc>
      </w:tr>
      <w:tr>
        <w:trPr>
          <w:trHeight w:val="266"/>
        </w:trPr>
        <w:tc>
          <w:tcPr>
            <w:tcW w:w="969" w:type="dxa"/>
            <w:shd w:val="clear" w:color="auto" w:fill="auto"/>
            <w:vAlign w:val="center"/>
            <w:hideMark/>
          </w:tcPr>
          <w:p>
            <w:pPr>
              <w:jc w:val="center"/>
              <w:rPr>
                <w:color w:val="000000"/>
                <w:sz w:val="20"/>
                <w:szCs w:val="20"/>
              </w:rPr>
            </w:pPr>
            <w:r>
              <w:rPr>
                <w:color w:val="000000"/>
                <w:sz w:val="20"/>
                <w:szCs w:val="20"/>
              </w:rPr>
              <w:t>1</w:t>
            </w:r>
          </w:p>
        </w:tc>
        <w:tc>
          <w:tcPr>
            <w:tcW w:w="3243" w:type="dxa"/>
            <w:shd w:val="clear" w:color="auto" w:fill="auto"/>
            <w:vAlign w:val="bottom"/>
          </w:tcPr>
          <w:p>
            <w:pPr>
              <w:pStyle w:val="TableParagraph"/>
              <w:tabs>
                <w:tab w:val="left" w:pos="1471"/>
                <w:tab w:val="left" w:pos="2029"/>
              </w:tabs>
              <w:ind w:right="129"/>
              <w:jc w:val="both"/>
              <w:rPr>
                <w:rFonts w:cs="Times New Roman"/>
                <w:b/>
                <w:spacing w:val="-2"/>
                <w:sz w:val="20"/>
              </w:rPr>
            </w:pPr>
            <w:r>
              <w:rPr>
                <w:rFonts w:cs="Times New Roman"/>
                <w:b/>
                <w:spacing w:val="-2"/>
                <w:sz w:val="20"/>
              </w:rPr>
              <w:t>Un taller presencial (curso intensivo de Comunicación Estratégica Digital) dirigido a los miembros de la Unidad</w:t>
            </w:r>
            <w:r>
              <w:rPr>
                <w:rFonts w:cs="Times New Roman"/>
                <w:b/>
                <w:spacing w:val="-2"/>
                <w:sz w:val="20"/>
              </w:rPr>
              <w:tab/>
              <w:t>de Comunicación Social de la Procuraduría General del Estado, al inicio del curso. Clase presencial: 8 horas académicas</w:t>
            </w:r>
          </w:p>
          <w:p>
            <w:pPr>
              <w:rPr>
                <w:b/>
                <w:color w:val="000000"/>
                <w:sz w:val="20"/>
                <w:szCs w:val="22"/>
              </w:rPr>
            </w:pPr>
          </w:p>
          <w:p>
            <w:pPr>
              <w:pStyle w:val="TableParagraph"/>
              <w:ind w:right="150"/>
              <w:jc w:val="both"/>
              <w:rPr>
                <w:rFonts w:cs="Times New Roman"/>
                <w:sz w:val="20"/>
              </w:rPr>
            </w:pPr>
            <w:r>
              <w:rPr>
                <w:rFonts w:cs="Times New Roman"/>
                <w:sz w:val="20"/>
              </w:rPr>
              <w:t>Servicio</w:t>
            </w:r>
            <w:r>
              <w:rPr>
                <w:rFonts w:cs="Times New Roman"/>
                <w:spacing w:val="-11"/>
                <w:sz w:val="20"/>
              </w:rPr>
              <w:t xml:space="preserve"> </w:t>
            </w:r>
            <w:r>
              <w:rPr>
                <w:rFonts w:cs="Times New Roman"/>
                <w:sz w:val="20"/>
              </w:rPr>
              <w:t>de</w:t>
            </w:r>
            <w:r>
              <w:rPr>
                <w:rFonts w:cs="Times New Roman"/>
                <w:spacing w:val="-11"/>
                <w:sz w:val="20"/>
              </w:rPr>
              <w:t xml:space="preserve"> </w:t>
            </w:r>
            <w:r>
              <w:rPr>
                <w:rFonts w:cs="Times New Roman"/>
                <w:sz w:val="20"/>
              </w:rPr>
              <w:t>capacitación</w:t>
            </w:r>
            <w:r>
              <w:rPr>
                <w:rFonts w:cs="Times New Roman"/>
                <w:spacing w:val="-8"/>
                <w:sz w:val="20"/>
              </w:rPr>
              <w:t xml:space="preserve"> </w:t>
            </w:r>
            <w:r>
              <w:rPr>
                <w:rFonts w:cs="Times New Roman"/>
                <w:sz w:val="20"/>
              </w:rPr>
              <w:t>presencial</w:t>
            </w:r>
            <w:r>
              <w:rPr>
                <w:rFonts w:cs="Times New Roman"/>
                <w:spacing w:val="-9"/>
                <w:sz w:val="20"/>
              </w:rPr>
              <w:t xml:space="preserve"> </w:t>
            </w:r>
            <w:r>
              <w:rPr>
                <w:rFonts w:cs="Times New Roman"/>
                <w:sz w:val="20"/>
              </w:rPr>
              <w:t>con</w:t>
            </w:r>
            <w:r>
              <w:rPr>
                <w:rFonts w:cs="Times New Roman"/>
                <w:spacing w:val="-10"/>
                <w:sz w:val="20"/>
              </w:rPr>
              <w:t xml:space="preserve"> </w:t>
            </w:r>
            <w:r>
              <w:rPr>
                <w:rFonts w:cs="Times New Roman"/>
                <w:sz w:val="20"/>
              </w:rPr>
              <w:t>una</w:t>
            </w:r>
            <w:r>
              <w:rPr>
                <w:rFonts w:cs="Times New Roman"/>
                <w:spacing w:val="-10"/>
                <w:sz w:val="20"/>
              </w:rPr>
              <w:t xml:space="preserve"> </w:t>
            </w:r>
            <w:r>
              <w:rPr>
                <w:rFonts w:cs="Times New Roman"/>
                <w:sz w:val="20"/>
              </w:rPr>
              <w:t>duración</w:t>
            </w:r>
            <w:r>
              <w:rPr>
                <w:rFonts w:cs="Times New Roman"/>
                <w:spacing w:val="-10"/>
                <w:sz w:val="20"/>
              </w:rPr>
              <w:t xml:space="preserve"> </w:t>
            </w:r>
            <w:r>
              <w:rPr>
                <w:rFonts w:cs="Times New Roman"/>
                <w:sz w:val="20"/>
              </w:rPr>
              <w:t>de</w:t>
            </w:r>
            <w:r>
              <w:rPr>
                <w:rFonts w:cs="Times New Roman"/>
                <w:spacing w:val="-8"/>
                <w:sz w:val="20"/>
              </w:rPr>
              <w:t xml:space="preserve"> </w:t>
            </w:r>
            <w:r>
              <w:rPr>
                <w:rFonts w:cs="Times New Roman"/>
                <w:sz w:val="20"/>
              </w:rPr>
              <w:t>ocho</w:t>
            </w:r>
            <w:r>
              <w:rPr>
                <w:rFonts w:cs="Times New Roman"/>
                <w:spacing w:val="-11"/>
                <w:sz w:val="20"/>
              </w:rPr>
              <w:t xml:space="preserve"> </w:t>
            </w:r>
            <w:r>
              <w:rPr>
                <w:rFonts w:cs="Times New Roman"/>
                <w:sz w:val="20"/>
              </w:rPr>
              <w:t>(8) horas académicas en “</w:t>
            </w:r>
            <w:r>
              <w:rPr>
                <w:rFonts w:cs="Times New Roman"/>
                <w:i/>
                <w:sz w:val="20"/>
              </w:rPr>
              <w:t>Capacitación en herramientas de Comunicación”</w:t>
            </w:r>
            <w:r>
              <w:rPr>
                <w:rFonts w:cs="Times New Roman"/>
                <w:i/>
                <w:spacing w:val="-12"/>
                <w:sz w:val="20"/>
              </w:rPr>
              <w:t xml:space="preserve"> </w:t>
            </w:r>
            <w:r>
              <w:rPr>
                <w:rFonts w:cs="Times New Roman"/>
                <w:sz w:val="20"/>
              </w:rPr>
              <w:t>en</w:t>
            </w:r>
            <w:r>
              <w:rPr>
                <w:rFonts w:cs="Times New Roman"/>
                <w:spacing w:val="-12"/>
                <w:sz w:val="20"/>
              </w:rPr>
              <w:t xml:space="preserve"> </w:t>
            </w:r>
            <w:r>
              <w:rPr>
                <w:rFonts w:cs="Times New Roman"/>
                <w:sz w:val="20"/>
              </w:rPr>
              <w:t>Comunicación</w:t>
            </w:r>
            <w:r>
              <w:rPr>
                <w:rFonts w:cs="Times New Roman"/>
                <w:spacing w:val="-12"/>
                <w:sz w:val="20"/>
              </w:rPr>
              <w:t xml:space="preserve"> </w:t>
            </w:r>
            <w:r>
              <w:rPr>
                <w:rFonts w:cs="Times New Roman"/>
                <w:sz w:val="20"/>
              </w:rPr>
              <w:t>Estratégica</w:t>
            </w:r>
            <w:r>
              <w:rPr>
                <w:rFonts w:cs="Times New Roman"/>
                <w:spacing w:val="-12"/>
                <w:sz w:val="20"/>
              </w:rPr>
              <w:t xml:space="preserve"> </w:t>
            </w:r>
            <w:r>
              <w:rPr>
                <w:rFonts w:cs="Times New Roman"/>
                <w:sz w:val="20"/>
              </w:rPr>
              <w:t>Digital,</w:t>
            </w:r>
            <w:r>
              <w:rPr>
                <w:rFonts w:cs="Times New Roman"/>
                <w:spacing w:val="-12"/>
                <w:sz w:val="20"/>
              </w:rPr>
              <w:t xml:space="preserve"> </w:t>
            </w:r>
            <w:r>
              <w:rPr>
                <w:rFonts w:cs="Times New Roman"/>
                <w:sz w:val="20"/>
              </w:rPr>
              <w:t>dirigido</w:t>
            </w:r>
            <w:r>
              <w:rPr>
                <w:rFonts w:cs="Times New Roman"/>
                <w:spacing w:val="-11"/>
                <w:sz w:val="20"/>
              </w:rPr>
              <w:t xml:space="preserve"> </w:t>
            </w:r>
            <w:r>
              <w:rPr>
                <w:rFonts w:cs="Times New Roman"/>
                <w:sz w:val="20"/>
              </w:rPr>
              <w:t>a</w:t>
            </w:r>
            <w:r>
              <w:rPr>
                <w:rFonts w:cs="Times New Roman"/>
                <w:spacing w:val="-12"/>
                <w:sz w:val="20"/>
              </w:rPr>
              <w:t xml:space="preserve"> </w:t>
            </w:r>
            <w:r>
              <w:rPr>
                <w:rFonts w:cs="Times New Roman"/>
                <w:sz w:val="20"/>
              </w:rPr>
              <w:t>los miembros de la Unidad de Comunicación Social de la Procuraduría</w:t>
            </w:r>
            <w:r>
              <w:rPr>
                <w:rFonts w:cs="Times New Roman"/>
                <w:spacing w:val="-4"/>
                <w:sz w:val="20"/>
              </w:rPr>
              <w:t xml:space="preserve"> </w:t>
            </w:r>
            <w:r>
              <w:rPr>
                <w:rFonts w:cs="Times New Roman"/>
                <w:sz w:val="20"/>
              </w:rPr>
              <w:t>General</w:t>
            </w:r>
            <w:r>
              <w:rPr>
                <w:rFonts w:cs="Times New Roman"/>
                <w:spacing w:val="-4"/>
                <w:sz w:val="20"/>
              </w:rPr>
              <w:t xml:space="preserve"> </w:t>
            </w:r>
            <w:r>
              <w:rPr>
                <w:rFonts w:cs="Times New Roman"/>
                <w:sz w:val="20"/>
              </w:rPr>
              <w:t>del</w:t>
            </w:r>
            <w:r>
              <w:rPr>
                <w:rFonts w:cs="Times New Roman"/>
                <w:spacing w:val="-7"/>
                <w:sz w:val="20"/>
              </w:rPr>
              <w:t xml:space="preserve"> </w:t>
            </w:r>
            <w:r>
              <w:rPr>
                <w:rFonts w:cs="Times New Roman"/>
                <w:sz w:val="20"/>
              </w:rPr>
              <w:t>Estado.</w:t>
            </w:r>
            <w:r>
              <w:rPr>
                <w:rFonts w:cs="Times New Roman"/>
                <w:spacing w:val="-4"/>
                <w:sz w:val="20"/>
              </w:rPr>
              <w:t xml:space="preserve"> </w:t>
            </w:r>
            <w:r>
              <w:rPr>
                <w:rFonts w:cs="Times New Roman"/>
                <w:sz w:val="20"/>
              </w:rPr>
              <w:t>En</w:t>
            </w:r>
            <w:r>
              <w:rPr>
                <w:rFonts w:cs="Times New Roman"/>
                <w:spacing w:val="-4"/>
                <w:sz w:val="20"/>
              </w:rPr>
              <w:t xml:space="preserve"> </w:t>
            </w:r>
            <w:r>
              <w:rPr>
                <w:rFonts w:cs="Times New Roman"/>
                <w:sz w:val="20"/>
              </w:rPr>
              <w:t>este</w:t>
            </w:r>
            <w:r>
              <w:rPr>
                <w:rFonts w:cs="Times New Roman"/>
                <w:spacing w:val="-4"/>
                <w:sz w:val="20"/>
              </w:rPr>
              <w:t xml:space="preserve"> </w:t>
            </w:r>
            <w:r>
              <w:rPr>
                <w:rFonts w:cs="Times New Roman"/>
                <w:sz w:val="20"/>
              </w:rPr>
              <w:t>taller,</w:t>
            </w:r>
            <w:r>
              <w:rPr>
                <w:rFonts w:cs="Times New Roman"/>
                <w:spacing w:val="-7"/>
                <w:sz w:val="20"/>
              </w:rPr>
              <w:t xml:space="preserve"> </w:t>
            </w:r>
            <w:r>
              <w:rPr>
                <w:rFonts w:cs="Times New Roman"/>
                <w:sz w:val="20"/>
              </w:rPr>
              <w:t>se</w:t>
            </w:r>
            <w:r>
              <w:rPr>
                <w:rFonts w:cs="Times New Roman"/>
                <w:spacing w:val="-4"/>
                <w:sz w:val="20"/>
              </w:rPr>
              <w:t xml:space="preserve"> </w:t>
            </w:r>
            <w:r>
              <w:rPr>
                <w:rFonts w:cs="Times New Roman"/>
                <w:sz w:val="20"/>
              </w:rPr>
              <w:t>abordarán</w:t>
            </w:r>
            <w:r>
              <w:rPr>
                <w:rFonts w:cs="Times New Roman"/>
                <w:spacing w:val="-4"/>
                <w:sz w:val="20"/>
              </w:rPr>
              <w:t xml:space="preserve"> </w:t>
            </w:r>
            <w:r>
              <w:rPr>
                <w:rFonts w:cs="Times New Roman"/>
                <w:sz w:val="20"/>
              </w:rPr>
              <w:t>los siguientes contenidos: Comunicación gubernamental, Comunicación política, Persuasión y Publicidad en medios digitales (campañas digitales), Gestión digital estratégica, gestión de crisis y en nuevos medios.</w:t>
            </w:r>
          </w:p>
          <w:p>
            <w:pPr>
              <w:pStyle w:val="TableParagraph"/>
              <w:rPr>
                <w:rFonts w:cs="Times New Roman"/>
                <w:b/>
                <w:sz w:val="20"/>
              </w:rPr>
            </w:pPr>
          </w:p>
          <w:p>
            <w:pPr>
              <w:rPr>
                <w:color w:val="000000"/>
                <w:sz w:val="20"/>
                <w:szCs w:val="22"/>
              </w:rPr>
            </w:pPr>
            <w:r>
              <w:rPr>
                <w:sz w:val="20"/>
                <w:szCs w:val="22"/>
              </w:rPr>
              <w:t>El</w:t>
            </w:r>
            <w:r>
              <w:rPr>
                <w:spacing w:val="-1"/>
                <w:sz w:val="20"/>
                <w:szCs w:val="22"/>
              </w:rPr>
              <w:t xml:space="preserve"> </w:t>
            </w:r>
            <w:r>
              <w:rPr>
                <w:sz w:val="20"/>
                <w:szCs w:val="22"/>
              </w:rPr>
              <w:t>taller</w:t>
            </w:r>
            <w:r>
              <w:rPr>
                <w:spacing w:val="-4"/>
                <w:sz w:val="20"/>
                <w:szCs w:val="22"/>
              </w:rPr>
              <w:t xml:space="preserve"> </w:t>
            </w:r>
            <w:r>
              <w:rPr>
                <w:sz w:val="20"/>
                <w:szCs w:val="22"/>
              </w:rPr>
              <w:t>se</w:t>
            </w:r>
            <w:r>
              <w:rPr>
                <w:spacing w:val="-2"/>
                <w:sz w:val="20"/>
                <w:szCs w:val="22"/>
              </w:rPr>
              <w:t xml:space="preserve"> </w:t>
            </w:r>
            <w:r>
              <w:rPr>
                <w:sz w:val="20"/>
                <w:szCs w:val="22"/>
              </w:rPr>
              <w:t xml:space="preserve">desarrollará en el lugar que proponga el Contratista previa </w:t>
            </w:r>
            <w:r>
              <w:rPr>
                <w:sz w:val="20"/>
                <w:szCs w:val="22"/>
              </w:rPr>
              <w:lastRenderedPageBreak/>
              <w:t>autorización</w:t>
            </w:r>
            <w:r>
              <w:rPr>
                <w:spacing w:val="40"/>
                <w:sz w:val="20"/>
                <w:szCs w:val="22"/>
              </w:rPr>
              <w:t xml:space="preserve"> </w:t>
            </w:r>
            <w:r>
              <w:rPr>
                <w:sz w:val="20"/>
                <w:szCs w:val="22"/>
              </w:rPr>
              <w:t>del Administrador de Contrato.</w:t>
            </w:r>
          </w:p>
        </w:tc>
        <w:tc>
          <w:tcPr>
            <w:tcW w:w="1133" w:type="dxa"/>
            <w:vMerge w:val="restart"/>
            <w:shd w:val="clear" w:color="auto" w:fill="auto"/>
            <w:vAlign w:val="center"/>
          </w:tcPr>
          <w:p>
            <w:pPr>
              <w:jc w:val="right"/>
              <w:rPr>
                <w:color w:val="000000"/>
                <w:sz w:val="20"/>
                <w:szCs w:val="20"/>
              </w:rPr>
            </w:pPr>
            <w:r>
              <w:rPr>
                <w:color w:val="000000"/>
                <w:sz w:val="20"/>
                <w:szCs w:val="20"/>
              </w:rPr>
              <w:lastRenderedPageBreak/>
              <w:t>1</w:t>
            </w:r>
          </w:p>
        </w:tc>
        <w:tc>
          <w:tcPr>
            <w:tcW w:w="909" w:type="dxa"/>
            <w:vMerge w:val="restart"/>
            <w:shd w:val="clear" w:color="auto" w:fill="auto"/>
            <w:vAlign w:val="center"/>
          </w:tcPr>
          <w:p>
            <w:pPr>
              <w:rPr>
                <w:color w:val="000000"/>
                <w:sz w:val="20"/>
                <w:szCs w:val="20"/>
              </w:rPr>
            </w:pPr>
            <w:r>
              <w:rPr>
                <w:color w:val="000000"/>
                <w:sz w:val="20"/>
                <w:szCs w:val="20"/>
              </w:rPr>
              <w:t>U</w:t>
            </w:r>
          </w:p>
        </w:tc>
        <w:tc>
          <w:tcPr>
            <w:tcW w:w="2251" w:type="dxa"/>
            <w:vMerge w:val="restart"/>
            <w:shd w:val="clear" w:color="auto" w:fill="auto"/>
            <w:noWrap/>
          </w:tcPr>
          <w:p>
            <w:pPr>
              <w:rPr>
                <w:color w:val="000000"/>
                <w:sz w:val="20"/>
                <w:szCs w:val="20"/>
              </w:rPr>
            </w:pPr>
            <w:r>
              <w:rPr>
                <w:color w:val="000000"/>
                <w:sz w:val="20"/>
                <w:szCs w:val="20"/>
              </w:rPr>
              <w:t>La capacitación de los miembros de la Unidad de Comunicación Social de la Procuraduría General del Estado se realizará de manera mixta (presencial y telemática) acorde al cronograma aprobado por el Administrador de Contrato. La capacitación presencial se realizará en la ciudad de Quito, en las instalaciones que disponga el Contratista.</w:t>
            </w:r>
          </w:p>
        </w:tc>
        <w:tc>
          <w:tcPr>
            <w:tcW w:w="1418" w:type="dxa"/>
            <w:vMerge w:val="restart"/>
            <w:shd w:val="clear" w:color="auto" w:fill="auto"/>
            <w:vAlign w:val="center"/>
          </w:tcPr>
          <w:p>
            <w:pPr>
              <w:rPr>
                <w:color w:val="000000"/>
                <w:sz w:val="20"/>
                <w:szCs w:val="20"/>
              </w:rPr>
            </w:pPr>
            <w:r>
              <w:rPr>
                <w:color w:val="000000"/>
                <w:sz w:val="20"/>
                <w:szCs w:val="20"/>
              </w:rPr>
              <w:t>Suscripción del contrato</w:t>
            </w:r>
          </w:p>
        </w:tc>
        <w:tc>
          <w:tcPr>
            <w:tcW w:w="2126" w:type="dxa"/>
            <w:vMerge w:val="restart"/>
            <w:shd w:val="clear" w:color="auto" w:fill="auto"/>
            <w:vAlign w:val="center"/>
          </w:tcPr>
          <w:p>
            <w:pPr>
              <w:rPr>
                <w:color w:val="000000"/>
                <w:sz w:val="20"/>
                <w:szCs w:val="20"/>
              </w:rPr>
            </w:pPr>
            <w:r>
              <w:rPr>
                <w:color w:val="000000"/>
                <w:sz w:val="20"/>
                <w:szCs w:val="20"/>
              </w:rPr>
              <w:t>hasta 30 días calendario</w:t>
            </w:r>
          </w:p>
        </w:tc>
        <w:tc>
          <w:tcPr>
            <w:tcW w:w="2011" w:type="dxa"/>
            <w:vMerge w:val="restart"/>
            <w:shd w:val="clear" w:color="auto" w:fill="auto"/>
            <w:vAlign w:val="center"/>
          </w:tcPr>
          <w:p>
            <w:pPr>
              <w:rPr>
                <w:color w:val="000000"/>
                <w:sz w:val="20"/>
                <w:szCs w:val="20"/>
              </w:rPr>
            </w:pPr>
            <w:r>
              <w:rPr>
                <w:color w:val="000000"/>
                <w:sz w:val="20"/>
                <w:szCs w:val="20"/>
              </w:rPr>
              <w:t>hasta 30 días calendario</w:t>
            </w:r>
          </w:p>
        </w:tc>
      </w:tr>
      <w:tr>
        <w:trPr>
          <w:trHeight w:val="1070"/>
        </w:trPr>
        <w:tc>
          <w:tcPr>
            <w:tcW w:w="969" w:type="dxa"/>
            <w:shd w:val="clear" w:color="auto" w:fill="auto"/>
            <w:vAlign w:val="center"/>
            <w:hideMark/>
          </w:tcPr>
          <w:p>
            <w:pPr>
              <w:jc w:val="center"/>
              <w:rPr>
                <w:color w:val="000000"/>
                <w:sz w:val="20"/>
                <w:szCs w:val="20"/>
              </w:rPr>
            </w:pPr>
            <w:r>
              <w:rPr>
                <w:color w:val="000000"/>
                <w:sz w:val="20"/>
                <w:szCs w:val="20"/>
              </w:rPr>
              <w:lastRenderedPageBreak/>
              <w:t>2</w:t>
            </w:r>
          </w:p>
        </w:tc>
        <w:tc>
          <w:tcPr>
            <w:tcW w:w="3243" w:type="dxa"/>
            <w:shd w:val="clear" w:color="auto" w:fill="auto"/>
            <w:vAlign w:val="bottom"/>
          </w:tcPr>
          <w:p>
            <w:pPr>
              <w:pStyle w:val="TableParagraph"/>
              <w:tabs>
                <w:tab w:val="left" w:pos="1471"/>
                <w:tab w:val="left" w:pos="2029"/>
              </w:tabs>
              <w:ind w:right="129"/>
              <w:jc w:val="both"/>
              <w:rPr>
                <w:rFonts w:cs="Times New Roman"/>
                <w:b/>
                <w:spacing w:val="-2"/>
                <w:sz w:val="20"/>
              </w:rPr>
            </w:pPr>
            <w:r>
              <w:rPr>
                <w:rFonts w:cs="Times New Roman"/>
                <w:b/>
                <w:spacing w:val="-2"/>
                <w:sz w:val="20"/>
              </w:rPr>
              <w:t>Clases virtuales asincrónicas (66 horas académicas) dirigido a los miembros de la Unidad de Comunicación Social de la Procuraduría General del Estado.</w:t>
            </w:r>
          </w:p>
          <w:p>
            <w:pPr>
              <w:pStyle w:val="TableParagraph"/>
              <w:tabs>
                <w:tab w:val="left" w:pos="1471"/>
                <w:tab w:val="left" w:pos="2029"/>
              </w:tabs>
              <w:ind w:right="129"/>
              <w:jc w:val="both"/>
              <w:rPr>
                <w:rFonts w:cs="Times New Roman"/>
                <w:spacing w:val="-2"/>
                <w:sz w:val="20"/>
              </w:rPr>
            </w:pPr>
          </w:p>
          <w:p>
            <w:pPr>
              <w:pStyle w:val="TableParagraph"/>
              <w:tabs>
                <w:tab w:val="left" w:pos="1471"/>
                <w:tab w:val="left" w:pos="2029"/>
              </w:tabs>
              <w:ind w:right="129"/>
              <w:jc w:val="both"/>
              <w:rPr>
                <w:rFonts w:cs="Times New Roman"/>
                <w:spacing w:val="-2"/>
                <w:sz w:val="20"/>
              </w:rPr>
            </w:pPr>
            <w:r>
              <w:rPr>
                <w:rFonts w:cs="Times New Roman"/>
                <w:spacing w:val="-2"/>
                <w:sz w:val="20"/>
              </w:rPr>
              <w:t xml:space="preserve">Capacitación virtual de sesenta y seis (66) horas académicas asincrónicas distribuidas en 30 días calendario dirigido a los miembros de la Unidad de Comunicación Social de la Procuraduría General del Estado. En estas horas académicas, se abordarán los siguientes contenidos que incluirán ejercicios prácticos: Storytelling, narrativa para redes sociales, narrativa visual, aplicaciones para Comunicación transmedia, Ecosistema </w:t>
            </w:r>
          </w:p>
        </w:tc>
        <w:tc>
          <w:tcPr>
            <w:tcW w:w="1133" w:type="dxa"/>
            <w:vMerge/>
            <w:shd w:val="clear" w:color="auto" w:fill="auto"/>
            <w:vAlign w:val="center"/>
          </w:tcPr>
          <w:p>
            <w:pPr>
              <w:jc w:val="right"/>
              <w:rPr>
                <w:color w:val="000000"/>
                <w:sz w:val="20"/>
                <w:szCs w:val="20"/>
              </w:rPr>
            </w:pPr>
          </w:p>
        </w:tc>
        <w:tc>
          <w:tcPr>
            <w:tcW w:w="909" w:type="dxa"/>
            <w:vMerge/>
            <w:shd w:val="clear" w:color="auto" w:fill="auto"/>
            <w:vAlign w:val="center"/>
          </w:tcPr>
          <w:p>
            <w:pPr>
              <w:rPr>
                <w:color w:val="000000"/>
                <w:sz w:val="20"/>
                <w:szCs w:val="20"/>
              </w:rPr>
            </w:pPr>
          </w:p>
        </w:tc>
        <w:tc>
          <w:tcPr>
            <w:tcW w:w="2251" w:type="dxa"/>
            <w:vMerge/>
            <w:shd w:val="clear" w:color="auto" w:fill="auto"/>
            <w:noWrap/>
          </w:tcPr>
          <w:p>
            <w:pPr>
              <w:rPr>
                <w:color w:val="000000"/>
                <w:sz w:val="20"/>
                <w:szCs w:val="20"/>
              </w:rPr>
            </w:pPr>
          </w:p>
        </w:tc>
        <w:tc>
          <w:tcPr>
            <w:tcW w:w="1418" w:type="dxa"/>
            <w:vMerge/>
            <w:shd w:val="clear" w:color="auto" w:fill="auto"/>
            <w:vAlign w:val="center"/>
          </w:tcPr>
          <w:p>
            <w:pPr>
              <w:rPr>
                <w:color w:val="000000"/>
                <w:sz w:val="20"/>
                <w:szCs w:val="20"/>
              </w:rPr>
            </w:pPr>
          </w:p>
        </w:tc>
        <w:tc>
          <w:tcPr>
            <w:tcW w:w="2126" w:type="dxa"/>
            <w:vMerge/>
            <w:shd w:val="clear" w:color="auto" w:fill="auto"/>
            <w:vAlign w:val="center"/>
          </w:tcPr>
          <w:p>
            <w:pPr>
              <w:rPr>
                <w:color w:val="000000"/>
                <w:sz w:val="20"/>
                <w:szCs w:val="20"/>
              </w:rPr>
            </w:pPr>
          </w:p>
        </w:tc>
        <w:tc>
          <w:tcPr>
            <w:tcW w:w="2011" w:type="dxa"/>
            <w:vMerge/>
            <w:shd w:val="clear" w:color="auto" w:fill="auto"/>
            <w:vAlign w:val="center"/>
          </w:tcPr>
          <w:p>
            <w:pPr>
              <w:rPr>
                <w:color w:val="000000"/>
                <w:sz w:val="20"/>
                <w:szCs w:val="20"/>
              </w:rPr>
            </w:pPr>
          </w:p>
        </w:tc>
      </w:tr>
      <w:tr>
        <w:trPr>
          <w:trHeight w:val="1070"/>
        </w:trPr>
        <w:tc>
          <w:tcPr>
            <w:tcW w:w="969" w:type="dxa"/>
            <w:shd w:val="clear" w:color="auto" w:fill="auto"/>
            <w:vAlign w:val="center"/>
            <w:hideMark/>
          </w:tcPr>
          <w:p>
            <w:pPr>
              <w:jc w:val="center"/>
              <w:rPr>
                <w:color w:val="000000"/>
                <w:sz w:val="20"/>
                <w:szCs w:val="20"/>
              </w:rPr>
            </w:pPr>
            <w:r>
              <w:rPr>
                <w:color w:val="000000"/>
                <w:sz w:val="20"/>
                <w:szCs w:val="20"/>
              </w:rPr>
              <w:t>3</w:t>
            </w:r>
          </w:p>
        </w:tc>
        <w:tc>
          <w:tcPr>
            <w:tcW w:w="3243" w:type="dxa"/>
            <w:shd w:val="clear" w:color="auto" w:fill="auto"/>
            <w:vAlign w:val="bottom"/>
          </w:tcPr>
          <w:p>
            <w:pPr>
              <w:pStyle w:val="TableParagraph"/>
              <w:tabs>
                <w:tab w:val="left" w:pos="2029"/>
              </w:tabs>
              <w:ind w:right="128"/>
              <w:jc w:val="both"/>
              <w:rPr>
                <w:rFonts w:cs="Times New Roman"/>
                <w:b/>
                <w:sz w:val="20"/>
              </w:rPr>
            </w:pPr>
            <w:r>
              <w:rPr>
                <w:rFonts w:cs="Times New Roman"/>
                <w:b/>
                <w:sz w:val="20"/>
              </w:rPr>
              <w:t xml:space="preserve">Un taller presencial (curso intensivo de </w:t>
            </w:r>
            <w:r>
              <w:rPr>
                <w:rFonts w:cs="Times New Roman"/>
                <w:b/>
                <w:spacing w:val="-2"/>
                <w:sz w:val="20"/>
              </w:rPr>
              <w:t xml:space="preserve">Herramientas </w:t>
            </w:r>
            <w:r>
              <w:rPr>
                <w:rFonts w:cs="Times New Roman"/>
                <w:b/>
                <w:spacing w:val="-6"/>
                <w:sz w:val="20"/>
              </w:rPr>
              <w:t xml:space="preserve">de </w:t>
            </w:r>
            <w:r>
              <w:rPr>
                <w:rFonts w:cs="Times New Roman"/>
                <w:b/>
                <w:spacing w:val="-2"/>
                <w:sz w:val="20"/>
              </w:rPr>
              <w:t>Comunicación)</w:t>
            </w:r>
            <w:r>
              <w:rPr>
                <w:rFonts w:cs="Times New Roman"/>
                <w:b/>
                <w:spacing w:val="-10"/>
                <w:sz w:val="20"/>
              </w:rPr>
              <w:t xml:space="preserve"> </w:t>
            </w:r>
            <w:r>
              <w:rPr>
                <w:rFonts w:cs="Times New Roman"/>
                <w:b/>
                <w:spacing w:val="-2"/>
                <w:sz w:val="20"/>
              </w:rPr>
              <w:t xml:space="preserve">dirigido </w:t>
            </w:r>
            <w:r>
              <w:rPr>
                <w:rFonts w:cs="Times New Roman"/>
                <w:b/>
                <w:sz w:val="20"/>
              </w:rPr>
              <w:t xml:space="preserve">a los miembros de la </w:t>
            </w:r>
            <w:r>
              <w:rPr>
                <w:rFonts w:cs="Times New Roman"/>
                <w:b/>
                <w:spacing w:val="-2"/>
                <w:sz w:val="20"/>
              </w:rPr>
              <w:t xml:space="preserve">Unidad </w:t>
            </w:r>
            <w:r>
              <w:rPr>
                <w:rFonts w:cs="Times New Roman"/>
                <w:b/>
                <w:spacing w:val="-5"/>
                <w:sz w:val="20"/>
              </w:rPr>
              <w:t xml:space="preserve">de </w:t>
            </w:r>
            <w:r>
              <w:rPr>
                <w:rFonts w:cs="Times New Roman"/>
                <w:b/>
                <w:sz w:val="20"/>
              </w:rPr>
              <w:t xml:space="preserve">Comunicación Social de la Procuraduría General del Estado, antes de finalizar el </w:t>
            </w:r>
            <w:r>
              <w:rPr>
                <w:rFonts w:cs="Times New Roman"/>
                <w:b/>
                <w:spacing w:val="-2"/>
                <w:sz w:val="20"/>
              </w:rPr>
              <w:t xml:space="preserve">curso. </w:t>
            </w:r>
            <w:r>
              <w:rPr>
                <w:rFonts w:cs="Times New Roman"/>
                <w:b/>
                <w:sz w:val="20"/>
              </w:rPr>
              <w:t>Clase</w:t>
            </w:r>
            <w:r>
              <w:rPr>
                <w:rFonts w:cs="Times New Roman"/>
                <w:b/>
                <w:spacing w:val="-12"/>
                <w:sz w:val="20"/>
              </w:rPr>
              <w:t xml:space="preserve"> </w:t>
            </w:r>
            <w:r>
              <w:rPr>
                <w:rFonts w:cs="Times New Roman"/>
                <w:b/>
                <w:sz w:val="20"/>
              </w:rPr>
              <w:t>presencial:</w:t>
            </w:r>
            <w:r>
              <w:rPr>
                <w:rFonts w:cs="Times New Roman"/>
                <w:b/>
                <w:spacing w:val="-12"/>
                <w:sz w:val="20"/>
              </w:rPr>
              <w:t xml:space="preserve"> </w:t>
            </w:r>
            <w:r>
              <w:rPr>
                <w:rFonts w:cs="Times New Roman"/>
                <w:b/>
                <w:sz w:val="20"/>
              </w:rPr>
              <w:t>8 horas académicas</w:t>
            </w:r>
          </w:p>
          <w:p>
            <w:pPr>
              <w:rPr>
                <w:sz w:val="20"/>
                <w:szCs w:val="22"/>
              </w:rPr>
            </w:pPr>
          </w:p>
          <w:p>
            <w:pPr>
              <w:pStyle w:val="TableParagraph"/>
              <w:ind w:right="148"/>
              <w:jc w:val="both"/>
              <w:rPr>
                <w:rFonts w:cs="Times New Roman"/>
                <w:sz w:val="20"/>
              </w:rPr>
            </w:pPr>
            <w:r>
              <w:rPr>
                <w:rFonts w:cs="Times New Roman"/>
                <w:sz w:val="20"/>
              </w:rPr>
              <w:t>Servicio</w:t>
            </w:r>
            <w:r>
              <w:rPr>
                <w:rFonts w:cs="Times New Roman"/>
                <w:spacing w:val="-11"/>
                <w:sz w:val="20"/>
              </w:rPr>
              <w:t xml:space="preserve"> </w:t>
            </w:r>
            <w:r>
              <w:rPr>
                <w:rFonts w:cs="Times New Roman"/>
                <w:sz w:val="20"/>
              </w:rPr>
              <w:t>de</w:t>
            </w:r>
            <w:r>
              <w:rPr>
                <w:rFonts w:cs="Times New Roman"/>
                <w:spacing w:val="-11"/>
                <w:sz w:val="20"/>
              </w:rPr>
              <w:t xml:space="preserve"> </w:t>
            </w:r>
            <w:r>
              <w:rPr>
                <w:rFonts w:cs="Times New Roman"/>
                <w:sz w:val="20"/>
              </w:rPr>
              <w:t>capacitación</w:t>
            </w:r>
            <w:r>
              <w:rPr>
                <w:rFonts w:cs="Times New Roman"/>
                <w:spacing w:val="-8"/>
                <w:sz w:val="20"/>
              </w:rPr>
              <w:t xml:space="preserve"> </w:t>
            </w:r>
            <w:r>
              <w:rPr>
                <w:rFonts w:cs="Times New Roman"/>
                <w:sz w:val="20"/>
              </w:rPr>
              <w:t>presencial</w:t>
            </w:r>
            <w:r>
              <w:rPr>
                <w:rFonts w:cs="Times New Roman"/>
                <w:spacing w:val="-9"/>
                <w:sz w:val="20"/>
              </w:rPr>
              <w:t xml:space="preserve"> </w:t>
            </w:r>
            <w:r>
              <w:rPr>
                <w:rFonts w:cs="Times New Roman"/>
                <w:sz w:val="20"/>
              </w:rPr>
              <w:t>con</w:t>
            </w:r>
            <w:r>
              <w:rPr>
                <w:rFonts w:cs="Times New Roman"/>
                <w:spacing w:val="-10"/>
                <w:sz w:val="20"/>
              </w:rPr>
              <w:t xml:space="preserve"> </w:t>
            </w:r>
            <w:r>
              <w:rPr>
                <w:rFonts w:cs="Times New Roman"/>
                <w:sz w:val="20"/>
              </w:rPr>
              <w:t>una</w:t>
            </w:r>
            <w:r>
              <w:rPr>
                <w:rFonts w:cs="Times New Roman"/>
                <w:spacing w:val="-10"/>
                <w:sz w:val="20"/>
              </w:rPr>
              <w:t xml:space="preserve"> </w:t>
            </w:r>
            <w:r>
              <w:rPr>
                <w:rFonts w:cs="Times New Roman"/>
                <w:sz w:val="20"/>
              </w:rPr>
              <w:t>duración</w:t>
            </w:r>
            <w:r>
              <w:rPr>
                <w:rFonts w:cs="Times New Roman"/>
                <w:spacing w:val="-10"/>
                <w:sz w:val="20"/>
              </w:rPr>
              <w:t xml:space="preserve"> </w:t>
            </w:r>
            <w:r>
              <w:rPr>
                <w:rFonts w:cs="Times New Roman"/>
                <w:sz w:val="20"/>
              </w:rPr>
              <w:t>de</w:t>
            </w:r>
            <w:r>
              <w:rPr>
                <w:rFonts w:cs="Times New Roman"/>
                <w:spacing w:val="-8"/>
                <w:sz w:val="20"/>
              </w:rPr>
              <w:t xml:space="preserve"> </w:t>
            </w:r>
            <w:r>
              <w:rPr>
                <w:rFonts w:cs="Times New Roman"/>
                <w:sz w:val="20"/>
              </w:rPr>
              <w:t>ocho</w:t>
            </w:r>
            <w:r>
              <w:rPr>
                <w:rFonts w:cs="Times New Roman"/>
                <w:spacing w:val="-11"/>
                <w:sz w:val="20"/>
              </w:rPr>
              <w:t xml:space="preserve"> </w:t>
            </w:r>
            <w:r>
              <w:rPr>
                <w:rFonts w:cs="Times New Roman"/>
                <w:sz w:val="20"/>
              </w:rPr>
              <w:t xml:space="preserve">(8) horas académicas en </w:t>
            </w:r>
            <w:r>
              <w:rPr>
                <w:rFonts w:cs="Times New Roman"/>
                <w:i/>
                <w:sz w:val="20"/>
              </w:rPr>
              <w:t xml:space="preserve">“Capacitación en herramientas de Comunicación” </w:t>
            </w:r>
            <w:r>
              <w:rPr>
                <w:rFonts w:cs="Times New Roman"/>
                <w:sz w:val="20"/>
              </w:rPr>
              <w:t xml:space="preserve">en Herramientas de Comunicación, dirigido a los miembros de la Unidad de Comunicación Social de </w:t>
            </w:r>
            <w:r>
              <w:rPr>
                <w:rFonts w:cs="Times New Roman"/>
                <w:sz w:val="20"/>
              </w:rPr>
              <w:lastRenderedPageBreak/>
              <w:t>la Procuraduría</w:t>
            </w:r>
            <w:r>
              <w:rPr>
                <w:rFonts w:cs="Times New Roman"/>
                <w:spacing w:val="-4"/>
                <w:sz w:val="20"/>
              </w:rPr>
              <w:t xml:space="preserve"> </w:t>
            </w:r>
            <w:r>
              <w:rPr>
                <w:rFonts w:cs="Times New Roman"/>
                <w:sz w:val="20"/>
              </w:rPr>
              <w:t>General</w:t>
            </w:r>
            <w:r>
              <w:rPr>
                <w:rFonts w:cs="Times New Roman"/>
                <w:spacing w:val="-4"/>
                <w:sz w:val="20"/>
              </w:rPr>
              <w:t xml:space="preserve"> </w:t>
            </w:r>
            <w:r>
              <w:rPr>
                <w:rFonts w:cs="Times New Roman"/>
                <w:sz w:val="20"/>
              </w:rPr>
              <w:t>del</w:t>
            </w:r>
            <w:r>
              <w:rPr>
                <w:rFonts w:cs="Times New Roman"/>
                <w:spacing w:val="-6"/>
                <w:sz w:val="20"/>
              </w:rPr>
              <w:t xml:space="preserve"> </w:t>
            </w:r>
            <w:r>
              <w:rPr>
                <w:rFonts w:cs="Times New Roman"/>
                <w:sz w:val="20"/>
              </w:rPr>
              <w:t>Estado.</w:t>
            </w:r>
            <w:r>
              <w:rPr>
                <w:rFonts w:cs="Times New Roman"/>
                <w:spacing w:val="-4"/>
                <w:sz w:val="20"/>
              </w:rPr>
              <w:t xml:space="preserve"> </w:t>
            </w:r>
            <w:r>
              <w:rPr>
                <w:rFonts w:cs="Times New Roman"/>
                <w:sz w:val="20"/>
              </w:rPr>
              <w:t>En</w:t>
            </w:r>
            <w:r>
              <w:rPr>
                <w:rFonts w:cs="Times New Roman"/>
                <w:spacing w:val="-4"/>
                <w:sz w:val="20"/>
              </w:rPr>
              <w:t xml:space="preserve"> </w:t>
            </w:r>
            <w:r>
              <w:rPr>
                <w:rFonts w:cs="Times New Roman"/>
                <w:sz w:val="20"/>
              </w:rPr>
              <w:t>este</w:t>
            </w:r>
            <w:r>
              <w:rPr>
                <w:rFonts w:cs="Times New Roman"/>
                <w:spacing w:val="-4"/>
                <w:sz w:val="20"/>
              </w:rPr>
              <w:t xml:space="preserve"> </w:t>
            </w:r>
            <w:r>
              <w:rPr>
                <w:rFonts w:cs="Times New Roman"/>
                <w:sz w:val="20"/>
              </w:rPr>
              <w:t>taller,</w:t>
            </w:r>
            <w:r>
              <w:rPr>
                <w:rFonts w:cs="Times New Roman"/>
                <w:spacing w:val="-6"/>
                <w:sz w:val="20"/>
              </w:rPr>
              <w:t xml:space="preserve"> </w:t>
            </w:r>
            <w:r>
              <w:rPr>
                <w:rFonts w:cs="Times New Roman"/>
                <w:sz w:val="20"/>
              </w:rPr>
              <w:t>se</w:t>
            </w:r>
            <w:r>
              <w:rPr>
                <w:rFonts w:cs="Times New Roman"/>
                <w:spacing w:val="-4"/>
                <w:sz w:val="20"/>
              </w:rPr>
              <w:t xml:space="preserve"> </w:t>
            </w:r>
            <w:r>
              <w:rPr>
                <w:rFonts w:cs="Times New Roman"/>
                <w:sz w:val="20"/>
              </w:rPr>
              <w:t>abordarán</w:t>
            </w:r>
            <w:r>
              <w:rPr>
                <w:rFonts w:cs="Times New Roman"/>
                <w:spacing w:val="-4"/>
                <w:sz w:val="20"/>
              </w:rPr>
              <w:t xml:space="preserve"> </w:t>
            </w:r>
            <w:r>
              <w:rPr>
                <w:rFonts w:cs="Times New Roman"/>
                <w:sz w:val="20"/>
              </w:rPr>
              <w:t>los siguientes contenidos: Inteligencia Artificial y diseño express, Diseño</w:t>
            </w:r>
            <w:r>
              <w:rPr>
                <w:rFonts w:cs="Times New Roman"/>
                <w:spacing w:val="-8"/>
                <w:sz w:val="20"/>
              </w:rPr>
              <w:t xml:space="preserve"> </w:t>
            </w:r>
            <w:r>
              <w:rPr>
                <w:rFonts w:cs="Times New Roman"/>
                <w:sz w:val="20"/>
              </w:rPr>
              <w:t>de</w:t>
            </w:r>
            <w:r>
              <w:rPr>
                <w:rFonts w:cs="Times New Roman"/>
                <w:spacing w:val="-8"/>
                <w:sz w:val="20"/>
              </w:rPr>
              <w:t xml:space="preserve"> </w:t>
            </w:r>
            <w:r>
              <w:rPr>
                <w:rFonts w:cs="Times New Roman"/>
                <w:sz w:val="20"/>
              </w:rPr>
              <w:t>experiencia</w:t>
            </w:r>
            <w:r>
              <w:rPr>
                <w:rFonts w:cs="Times New Roman"/>
                <w:spacing w:val="-9"/>
                <w:sz w:val="20"/>
              </w:rPr>
              <w:t xml:space="preserve"> </w:t>
            </w:r>
            <w:r>
              <w:rPr>
                <w:rFonts w:cs="Times New Roman"/>
                <w:sz w:val="20"/>
              </w:rPr>
              <w:t>del</w:t>
            </w:r>
            <w:r>
              <w:rPr>
                <w:rFonts w:cs="Times New Roman"/>
                <w:spacing w:val="-11"/>
                <w:sz w:val="20"/>
              </w:rPr>
              <w:t xml:space="preserve"> </w:t>
            </w:r>
            <w:r>
              <w:rPr>
                <w:rFonts w:cs="Times New Roman"/>
                <w:sz w:val="20"/>
              </w:rPr>
              <w:t>usuario,</w:t>
            </w:r>
            <w:r>
              <w:rPr>
                <w:rFonts w:cs="Times New Roman"/>
                <w:spacing w:val="-8"/>
                <w:sz w:val="20"/>
              </w:rPr>
              <w:t xml:space="preserve"> </w:t>
            </w:r>
            <w:r>
              <w:rPr>
                <w:rFonts w:cs="Times New Roman"/>
                <w:sz w:val="20"/>
              </w:rPr>
              <w:t>Investigación</w:t>
            </w:r>
            <w:r>
              <w:rPr>
                <w:rFonts w:cs="Times New Roman"/>
                <w:spacing w:val="-10"/>
                <w:sz w:val="20"/>
              </w:rPr>
              <w:t xml:space="preserve"> </w:t>
            </w:r>
            <w:r>
              <w:rPr>
                <w:rFonts w:cs="Times New Roman"/>
                <w:sz w:val="20"/>
              </w:rPr>
              <w:t>digital,</w:t>
            </w:r>
            <w:r>
              <w:rPr>
                <w:rFonts w:cs="Times New Roman"/>
                <w:spacing w:val="-9"/>
                <w:sz w:val="20"/>
              </w:rPr>
              <w:t xml:space="preserve"> </w:t>
            </w:r>
            <w:r>
              <w:rPr>
                <w:rFonts w:cs="Times New Roman"/>
                <w:sz w:val="20"/>
              </w:rPr>
              <w:t>creación de contenidos para nuevas audiencias y nuevas tecnologías, Fotografía y edición digital, Comunicación inmersiva. El Contratista realizará trabajos prácticos con aplicaciones en celulares/IPad/Laptops o PC.</w:t>
            </w:r>
          </w:p>
          <w:p>
            <w:pPr>
              <w:pStyle w:val="TableParagraph"/>
              <w:ind w:right="148"/>
              <w:jc w:val="both"/>
              <w:rPr>
                <w:rFonts w:cs="Times New Roman"/>
                <w:sz w:val="20"/>
              </w:rPr>
            </w:pPr>
            <w:r>
              <w:rPr>
                <w:rFonts w:cs="Times New Roman"/>
                <w:sz w:val="20"/>
              </w:rPr>
              <w:t>En</w:t>
            </w:r>
            <w:r>
              <w:rPr>
                <w:rFonts w:cs="Times New Roman"/>
                <w:spacing w:val="-8"/>
                <w:sz w:val="20"/>
              </w:rPr>
              <w:t xml:space="preserve"> </w:t>
            </w:r>
            <w:r>
              <w:rPr>
                <w:rFonts w:cs="Times New Roman"/>
                <w:sz w:val="20"/>
              </w:rPr>
              <w:t>este</w:t>
            </w:r>
            <w:r>
              <w:rPr>
                <w:rFonts w:cs="Times New Roman"/>
                <w:spacing w:val="-11"/>
                <w:sz w:val="20"/>
              </w:rPr>
              <w:t xml:space="preserve"> </w:t>
            </w:r>
            <w:r>
              <w:rPr>
                <w:rFonts w:cs="Times New Roman"/>
                <w:sz w:val="20"/>
              </w:rPr>
              <w:t>taller,</w:t>
            </w:r>
            <w:r>
              <w:rPr>
                <w:rFonts w:cs="Times New Roman"/>
                <w:spacing w:val="-10"/>
                <w:sz w:val="20"/>
              </w:rPr>
              <w:t xml:space="preserve"> </w:t>
            </w:r>
            <w:r>
              <w:rPr>
                <w:rFonts w:cs="Times New Roman"/>
                <w:sz w:val="20"/>
              </w:rPr>
              <w:t>los</w:t>
            </w:r>
            <w:r>
              <w:rPr>
                <w:rFonts w:cs="Times New Roman"/>
                <w:spacing w:val="-9"/>
                <w:sz w:val="20"/>
              </w:rPr>
              <w:t xml:space="preserve"> </w:t>
            </w:r>
            <w:r>
              <w:rPr>
                <w:rFonts w:cs="Times New Roman"/>
                <w:sz w:val="20"/>
              </w:rPr>
              <w:t>miembros</w:t>
            </w:r>
            <w:r>
              <w:rPr>
                <w:rFonts w:cs="Times New Roman"/>
                <w:spacing w:val="-9"/>
                <w:sz w:val="20"/>
              </w:rPr>
              <w:t xml:space="preserve"> </w:t>
            </w:r>
            <w:r>
              <w:rPr>
                <w:rFonts w:cs="Times New Roman"/>
                <w:sz w:val="20"/>
              </w:rPr>
              <w:t>de</w:t>
            </w:r>
            <w:r>
              <w:rPr>
                <w:rFonts w:cs="Times New Roman"/>
                <w:spacing w:val="-8"/>
                <w:sz w:val="20"/>
              </w:rPr>
              <w:t xml:space="preserve"> </w:t>
            </w:r>
            <w:r>
              <w:rPr>
                <w:rFonts w:cs="Times New Roman"/>
                <w:sz w:val="20"/>
              </w:rPr>
              <w:t>la</w:t>
            </w:r>
            <w:r>
              <w:rPr>
                <w:rFonts w:cs="Times New Roman"/>
                <w:spacing w:val="-11"/>
                <w:sz w:val="20"/>
              </w:rPr>
              <w:t xml:space="preserve"> </w:t>
            </w:r>
            <w:r>
              <w:rPr>
                <w:rFonts w:cs="Times New Roman"/>
                <w:sz w:val="20"/>
              </w:rPr>
              <w:t>Unidad</w:t>
            </w:r>
            <w:r>
              <w:rPr>
                <w:rFonts w:cs="Times New Roman"/>
                <w:spacing w:val="-10"/>
                <w:sz w:val="20"/>
              </w:rPr>
              <w:t xml:space="preserve"> </w:t>
            </w:r>
            <w:r>
              <w:rPr>
                <w:rFonts w:cs="Times New Roman"/>
                <w:sz w:val="20"/>
              </w:rPr>
              <w:t>de</w:t>
            </w:r>
            <w:r>
              <w:rPr>
                <w:rFonts w:cs="Times New Roman"/>
                <w:spacing w:val="-11"/>
                <w:sz w:val="20"/>
              </w:rPr>
              <w:t xml:space="preserve"> </w:t>
            </w:r>
            <w:r>
              <w:rPr>
                <w:rFonts w:cs="Times New Roman"/>
                <w:sz w:val="20"/>
              </w:rPr>
              <w:t>Comunicación</w:t>
            </w:r>
            <w:r>
              <w:rPr>
                <w:rFonts w:cs="Times New Roman"/>
                <w:spacing w:val="-10"/>
                <w:sz w:val="20"/>
              </w:rPr>
              <w:t xml:space="preserve"> </w:t>
            </w:r>
            <w:r>
              <w:rPr>
                <w:rFonts w:cs="Times New Roman"/>
                <w:sz w:val="20"/>
              </w:rPr>
              <w:t>Social de la Procuraduría General del Estado presentarán una Estrategia de Comunicación Digital con su respectivo Plan de Trabajo, y los productos propuestos para posicionar la gestión institucional</w:t>
            </w:r>
            <w:r>
              <w:rPr>
                <w:rFonts w:cs="Times New Roman"/>
                <w:spacing w:val="-2"/>
                <w:sz w:val="20"/>
              </w:rPr>
              <w:t xml:space="preserve"> </w:t>
            </w:r>
            <w:r>
              <w:rPr>
                <w:rFonts w:cs="Times New Roman"/>
                <w:sz w:val="20"/>
              </w:rPr>
              <w:t>de la</w:t>
            </w:r>
            <w:r>
              <w:rPr>
                <w:rFonts w:cs="Times New Roman"/>
                <w:spacing w:val="-2"/>
                <w:sz w:val="20"/>
              </w:rPr>
              <w:t xml:space="preserve"> </w:t>
            </w:r>
            <w:r>
              <w:rPr>
                <w:rFonts w:cs="Times New Roman"/>
                <w:sz w:val="20"/>
              </w:rPr>
              <w:t>Procuraría General</w:t>
            </w:r>
            <w:r>
              <w:rPr>
                <w:rFonts w:cs="Times New Roman"/>
                <w:spacing w:val="-3"/>
                <w:sz w:val="20"/>
              </w:rPr>
              <w:t xml:space="preserve"> </w:t>
            </w:r>
            <w:r>
              <w:rPr>
                <w:rFonts w:cs="Times New Roman"/>
                <w:sz w:val="20"/>
              </w:rPr>
              <w:t>del Estado. Esta Estrategia será la evaluación final.</w:t>
            </w:r>
          </w:p>
          <w:p>
            <w:pPr>
              <w:rPr>
                <w:color w:val="000000"/>
                <w:sz w:val="20"/>
                <w:szCs w:val="22"/>
              </w:rPr>
            </w:pPr>
            <w:r>
              <w:rPr>
                <w:spacing w:val="-2"/>
                <w:sz w:val="20"/>
                <w:szCs w:val="22"/>
              </w:rPr>
              <w:t>El</w:t>
            </w:r>
            <w:r>
              <w:rPr>
                <w:spacing w:val="-10"/>
                <w:sz w:val="20"/>
                <w:szCs w:val="22"/>
              </w:rPr>
              <w:t xml:space="preserve"> </w:t>
            </w:r>
            <w:r>
              <w:rPr>
                <w:spacing w:val="-2"/>
                <w:sz w:val="20"/>
                <w:szCs w:val="22"/>
              </w:rPr>
              <w:t>taller</w:t>
            </w:r>
            <w:r>
              <w:rPr>
                <w:spacing w:val="-10"/>
                <w:sz w:val="20"/>
                <w:szCs w:val="22"/>
              </w:rPr>
              <w:t xml:space="preserve"> </w:t>
            </w:r>
            <w:r>
              <w:rPr>
                <w:spacing w:val="-2"/>
                <w:sz w:val="20"/>
                <w:szCs w:val="22"/>
              </w:rPr>
              <w:t>se</w:t>
            </w:r>
            <w:r>
              <w:rPr>
                <w:spacing w:val="-4"/>
                <w:sz w:val="20"/>
                <w:szCs w:val="22"/>
              </w:rPr>
              <w:t xml:space="preserve"> </w:t>
            </w:r>
            <w:r>
              <w:rPr>
                <w:spacing w:val="-2"/>
                <w:sz w:val="20"/>
                <w:szCs w:val="22"/>
              </w:rPr>
              <w:t>realizará</w:t>
            </w:r>
            <w:r>
              <w:rPr>
                <w:spacing w:val="-8"/>
                <w:sz w:val="20"/>
                <w:szCs w:val="22"/>
              </w:rPr>
              <w:t xml:space="preserve"> </w:t>
            </w:r>
            <w:r>
              <w:rPr>
                <w:spacing w:val="-2"/>
                <w:sz w:val="20"/>
                <w:szCs w:val="22"/>
              </w:rPr>
              <w:t>en</w:t>
            </w:r>
            <w:r>
              <w:rPr>
                <w:spacing w:val="-8"/>
                <w:sz w:val="20"/>
                <w:szCs w:val="22"/>
              </w:rPr>
              <w:t xml:space="preserve"> </w:t>
            </w:r>
            <w:r>
              <w:rPr>
                <w:spacing w:val="-2"/>
                <w:sz w:val="20"/>
                <w:szCs w:val="22"/>
              </w:rPr>
              <w:t>el</w:t>
            </w:r>
            <w:r>
              <w:rPr>
                <w:spacing w:val="-10"/>
                <w:sz w:val="20"/>
                <w:szCs w:val="22"/>
              </w:rPr>
              <w:t xml:space="preserve"> </w:t>
            </w:r>
            <w:r>
              <w:rPr>
                <w:spacing w:val="-2"/>
                <w:sz w:val="20"/>
                <w:szCs w:val="22"/>
              </w:rPr>
              <w:t>lugar</w:t>
            </w:r>
            <w:r>
              <w:rPr>
                <w:spacing w:val="-8"/>
                <w:sz w:val="20"/>
                <w:szCs w:val="22"/>
              </w:rPr>
              <w:t xml:space="preserve"> </w:t>
            </w:r>
            <w:r>
              <w:rPr>
                <w:spacing w:val="-2"/>
                <w:sz w:val="20"/>
                <w:szCs w:val="22"/>
              </w:rPr>
              <w:t>que</w:t>
            </w:r>
            <w:r>
              <w:rPr>
                <w:spacing w:val="-7"/>
                <w:sz w:val="20"/>
                <w:szCs w:val="22"/>
              </w:rPr>
              <w:t xml:space="preserve"> </w:t>
            </w:r>
            <w:r>
              <w:rPr>
                <w:spacing w:val="-2"/>
                <w:sz w:val="20"/>
                <w:szCs w:val="22"/>
              </w:rPr>
              <w:t>proponga el</w:t>
            </w:r>
            <w:r>
              <w:rPr>
                <w:spacing w:val="-4"/>
                <w:sz w:val="20"/>
                <w:szCs w:val="22"/>
              </w:rPr>
              <w:t xml:space="preserve"> </w:t>
            </w:r>
            <w:r>
              <w:rPr>
                <w:spacing w:val="-2"/>
                <w:sz w:val="20"/>
                <w:szCs w:val="22"/>
              </w:rPr>
              <w:t xml:space="preserve">Contratista previa </w:t>
            </w:r>
            <w:r>
              <w:rPr>
                <w:sz w:val="20"/>
                <w:szCs w:val="22"/>
              </w:rPr>
              <w:t>autorización del Administrador de Contrato.</w:t>
            </w:r>
          </w:p>
        </w:tc>
        <w:tc>
          <w:tcPr>
            <w:tcW w:w="1133" w:type="dxa"/>
            <w:vMerge/>
            <w:shd w:val="clear" w:color="auto" w:fill="auto"/>
            <w:vAlign w:val="center"/>
          </w:tcPr>
          <w:p>
            <w:pPr>
              <w:jc w:val="right"/>
              <w:rPr>
                <w:color w:val="000000"/>
                <w:sz w:val="20"/>
                <w:szCs w:val="20"/>
              </w:rPr>
            </w:pPr>
          </w:p>
        </w:tc>
        <w:tc>
          <w:tcPr>
            <w:tcW w:w="909" w:type="dxa"/>
            <w:vMerge/>
            <w:shd w:val="clear" w:color="auto" w:fill="auto"/>
            <w:vAlign w:val="center"/>
          </w:tcPr>
          <w:p>
            <w:pPr>
              <w:rPr>
                <w:color w:val="000000"/>
                <w:sz w:val="20"/>
                <w:szCs w:val="20"/>
              </w:rPr>
            </w:pPr>
          </w:p>
        </w:tc>
        <w:tc>
          <w:tcPr>
            <w:tcW w:w="2251" w:type="dxa"/>
            <w:vMerge/>
            <w:shd w:val="clear" w:color="auto" w:fill="auto"/>
            <w:noWrap/>
          </w:tcPr>
          <w:p>
            <w:pPr>
              <w:rPr>
                <w:color w:val="000000"/>
                <w:sz w:val="20"/>
                <w:szCs w:val="20"/>
              </w:rPr>
            </w:pPr>
          </w:p>
        </w:tc>
        <w:tc>
          <w:tcPr>
            <w:tcW w:w="1418" w:type="dxa"/>
            <w:vMerge/>
            <w:shd w:val="clear" w:color="auto" w:fill="auto"/>
            <w:vAlign w:val="center"/>
          </w:tcPr>
          <w:p>
            <w:pPr>
              <w:rPr>
                <w:color w:val="000000"/>
                <w:sz w:val="20"/>
                <w:szCs w:val="20"/>
              </w:rPr>
            </w:pPr>
          </w:p>
        </w:tc>
        <w:tc>
          <w:tcPr>
            <w:tcW w:w="2126" w:type="dxa"/>
            <w:vMerge/>
            <w:shd w:val="clear" w:color="auto" w:fill="auto"/>
            <w:vAlign w:val="center"/>
          </w:tcPr>
          <w:p>
            <w:pPr>
              <w:rPr>
                <w:color w:val="000000"/>
                <w:sz w:val="20"/>
                <w:szCs w:val="20"/>
              </w:rPr>
            </w:pPr>
          </w:p>
        </w:tc>
        <w:tc>
          <w:tcPr>
            <w:tcW w:w="2011" w:type="dxa"/>
            <w:vMerge/>
            <w:shd w:val="clear" w:color="auto" w:fill="auto"/>
            <w:vAlign w:val="center"/>
          </w:tcPr>
          <w:p>
            <w:pPr>
              <w:rPr>
                <w:color w:val="000000"/>
                <w:sz w:val="20"/>
                <w:szCs w:val="20"/>
              </w:rPr>
            </w:pPr>
          </w:p>
        </w:tc>
      </w:tr>
      <w:tr>
        <w:trPr>
          <w:trHeight w:val="1070"/>
        </w:trPr>
        <w:tc>
          <w:tcPr>
            <w:tcW w:w="969" w:type="dxa"/>
            <w:shd w:val="clear" w:color="auto" w:fill="auto"/>
            <w:vAlign w:val="center"/>
            <w:hideMark/>
          </w:tcPr>
          <w:p>
            <w:pPr>
              <w:jc w:val="center"/>
              <w:rPr>
                <w:color w:val="000000"/>
                <w:sz w:val="20"/>
                <w:szCs w:val="20"/>
              </w:rPr>
            </w:pPr>
            <w:r>
              <w:rPr>
                <w:color w:val="000000"/>
                <w:sz w:val="20"/>
                <w:szCs w:val="20"/>
              </w:rPr>
              <w:lastRenderedPageBreak/>
              <w:t>4</w:t>
            </w:r>
          </w:p>
        </w:tc>
        <w:tc>
          <w:tcPr>
            <w:tcW w:w="3243" w:type="dxa"/>
            <w:shd w:val="clear" w:color="auto" w:fill="auto"/>
            <w:vAlign w:val="bottom"/>
          </w:tcPr>
          <w:p>
            <w:pPr>
              <w:rPr>
                <w:b/>
                <w:sz w:val="20"/>
                <w:szCs w:val="22"/>
              </w:rPr>
            </w:pPr>
            <w:r>
              <w:rPr>
                <w:b/>
                <w:spacing w:val="-2"/>
                <w:sz w:val="20"/>
                <w:szCs w:val="22"/>
              </w:rPr>
              <w:t xml:space="preserve">Evaluación, </w:t>
            </w:r>
            <w:r>
              <w:rPr>
                <w:b/>
                <w:sz w:val="20"/>
                <w:szCs w:val="22"/>
              </w:rPr>
              <w:t>certificación,</w:t>
            </w:r>
            <w:r>
              <w:rPr>
                <w:b/>
                <w:spacing w:val="-2"/>
                <w:sz w:val="20"/>
                <w:szCs w:val="22"/>
              </w:rPr>
              <w:t xml:space="preserve"> </w:t>
            </w:r>
            <w:r>
              <w:rPr>
                <w:b/>
                <w:sz w:val="20"/>
                <w:szCs w:val="22"/>
              </w:rPr>
              <w:t>y</w:t>
            </w:r>
            <w:r>
              <w:rPr>
                <w:b/>
                <w:spacing w:val="-3"/>
                <w:sz w:val="20"/>
                <w:szCs w:val="22"/>
              </w:rPr>
              <w:t xml:space="preserve"> </w:t>
            </w:r>
            <w:r>
              <w:rPr>
                <w:b/>
                <w:sz w:val="20"/>
                <w:szCs w:val="22"/>
              </w:rPr>
              <w:t>reporte de actividades.</w:t>
            </w:r>
          </w:p>
          <w:p>
            <w:pPr>
              <w:rPr>
                <w:sz w:val="20"/>
                <w:szCs w:val="22"/>
              </w:rPr>
            </w:pPr>
          </w:p>
          <w:p>
            <w:pPr>
              <w:pStyle w:val="TableParagraph"/>
              <w:ind w:right="147"/>
              <w:jc w:val="both"/>
              <w:rPr>
                <w:rFonts w:cs="Times New Roman"/>
                <w:sz w:val="20"/>
              </w:rPr>
            </w:pPr>
            <w:r>
              <w:rPr>
                <w:rFonts w:cs="Times New Roman"/>
                <w:sz w:val="20"/>
              </w:rPr>
              <w:t>El</w:t>
            </w:r>
            <w:r>
              <w:rPr>
                <w:rFonts w:cs="Times New Roman"/>
                <w:spacing w:val="-5"/>
                <w:sz w:val="20"/>
              </w:rPr>
              <w:t xml:space="preserve"> </w:t>
            </w:r>
            <w:r>
              <w:rPr>
                <w:rFonts w:cs="Times New Roman"/>
                <w:sz w:val="20"/>
              </w:rPr>
              <w:t>Contratista</w:t>
            </w:r>
            <w:r>
              <w:rPr>
                <w:rFonts w:cs="Times New Roman"/>
                <w:spacing w:val="-6"/>
                <w:sz w:val="20"/>
              </w:rPr>
              <w:t xml:space="preserve"> </w:t>
            </w:r>
            <w:r>
              <w:rPr>
                <w:rFonts w:cs="Times New Roman"/>
                <w:sz w:val="20"/>
              </w:rPr>
              <w:t>entregará</w:t>
            </w:r>
            <w:r>
              <w:rPr>
                <w:rFonts w:cs="Times New Roman"/>
                <w:spacing w:val="-6"/>
                <w:sz w:val="20"/>
              </w:rPr>
              <w:t xml:space="preserve"> </w:t>
            </w:r>
            <w:r>
              <w:rPr>
                <w:rFonts w:cs="Times New Roman"/>
                <w:sz w:val="20"/>
              </w:rPr>
              <w:t>los</w:t>
            </w:r>
            <w:r>
              <w:rPr>
                <w:rFonts w:cs="Times New Roman"/>
                <w:spacing w:val="-3"/>
                <w:sz w:val="20"/>
              </w:rPr>
              <w:t xml:space="preserve"> </w:t>
            </w:r>
            <w:r>
              <w:rPr>
                <w:rFonts w:cs="Times New Roman"/>
                <w:sz w:val="20"/>
              </w:rPr>
              <w:t>certificados</w:t>
            </w:r>
            <w:r>
              <w:rPr>
                <w:rFonts w:cs="Times New Roman"/>
                <w:spacing w:val="-5"/>
                <w:sz w:val="20"/>
              </w:rPr>
              <w:t xml:space="preserve"> </w:t>
            </w:r>
            <w:r>
              <w:rPr>
                <w:rFonts w:cs="Times New Roman"/>
                <w:sz w:val="20"/>
              </w:rPr>
              <w:t>en</w:t>
            </w:r>
            <w:r>
              <w:rPr>
                <w:rFonts w:cs="Times New Roman"/>
                <w:spacing w:val="-5"/>
                <w:sz w:val="20"/>
              </w:rPr>
              <w:t xml:space="preserve"> </w:t>
            </w:r>
            <w:r>
              <w:rPr>
                <w:rFonts w:cs="Times New Roman"/>
                <w:sz w:val="20"/>
              </w:rPr>
              <w:t>las</w:t>
            </w:r>
            <w:r>
              <w:rPr>
                <w:rFonts w:cs="Times New Roman"/>
                <w:spacing w:val="-5"/>
                <w:sz w:val="20"/>
              </w:rPr>
              <w:t xml:space="preserve"> </w:t>
            </w:r>
            <w:r>
              <w:rPr>
                <w:rFonts w:cs="Times New Roman"/>
                <w:sz w:val="20"/>
              </w:rPr>
              <w:t>que</w:t>
            </w:r>
            <w:r>
              <w:rPr>
                <w:rFonts w:cs="Times New Roman"/>
                <w:spacing w:val="-8"/>
                <w:sz w:val="20"/>
              </w:rPr>
              <w:t xml:space="preserve"> </w:t>
            </w:r>
            <w:r>
              <w:rPr>
                <w:rFonts w:cs="Times New Roman"/>
                <w:sz w:val="20"/>
              </w:rPr>
              <w:t>se</w:t>
            </w:r>
            <w:r>
              <w:rPr>
                <w:rFonts w:cs="Times New Roman"/>
                <w:spacing w:val="-8"/>
                <w:sz w:val="20"/>
              </w:rPr>
              <w:t xml:space="preserve"> </w:t>
            </w:r>
            <w:r>
              <w:rPr>
                <w:rFonts w:cs="Times New Roman"/>
                <w:sz w:val="20"/>
              </w:rPr>
              <w:t>incluyan</w:t>
            </w:r>
            <w:r>
              <w:rPr>
                <w:rFonts w:cs="Times New Roman"/>
                <w:spacing w:val="31"/>
                <w:sz w:val="20"/>
              </w:rPr>
              <w:t xml:space="preserve"> </w:t>
            </w:r>
            <w:r>
              <w:rPr>
                <w:rFonts w:cs="Times New Roman"/>
                <w:sz w:val="20"/>
              </w:rPr>
              <w:t xml:space="preserve">el total de las horas académicas recibidas del diplomado </w:t>
            </w:r>
            <w:r>
              <w:rPr>
                <w:rFonts w:cs="Times New Roman"/>
                <w:i/>
                <w:sz w:val="20"/>
              </w:rPr>
              <w:t>“Capacitación</w:t>
            </w:r>
            <w:r>
              <w:rPr>
                <w:rFonts w:cs="Times New Roman"/>
                <w:i/>
                <w:spacing w:val="-3"/>
                <w:sz w:val="20"/>
              </w:rPr>
              <w:t xml:space="preserve"> </w:t>
            </w:r>
            <w:r>
              <w:rPr>
                <w:rFonts w:cs="Times New Roman"/>
                <w:i/>
                <w:sz w:val="20"/>
              </w:rPr>
              <w:t>en</w:t>
            </w:r>
            <w:r>
              <w:rPr>
                <w:rFonts w:cs="Times New Roman"/>
                <w:i/>
                <w:spacing w:val="-3"/>
                <w:sz w:val="20"/>
              </w:rPr>
              <w:t xml:space="preserve"> </w:t>
            </w:r>
            <w:r>
              <w:rPr>
                <w:rFonts w:cs="Times New Roman"/>
                <w:i/>
                <w:sz w:val="20"/>
              </w:rPr>
              <w:t>herramientas</w:t>
            </w:r>
            <w:r>
              <w:rPr>
                <w:rFonts w:cs="Times New Roman"/>
                <w:i/>
                <w:spacing w:val="-2"/>
                <w:sz w:val="20"/>
              </w:rPr>
              <w:t xml:space="preserve"> </w:t>
            </w:r>
            <w:r>
              <w:rPr>
                <w:rFonts w:cs="Times New Roman"/>
                <w:i/>
                <w:sz w:val="20"/>
              </w:rPr>
              <w:t>de</w:t>
            </w:r>
            <w:r>
              <w:rPr>
                <w:rFonts w:cs="Times New Roman"/>
                <w:i/>
                <w:spacing w:val="-1"/>
                <w:sz w:val="20"/>
              </w:rPr>
              <w:t xml:space="preserve"> </w:t>
            </w:r>
            <w:r>
              <w:rPr>
                <w:rFonts w:cs="Times New Roman"/>
                <w:i/>
                <w:sz w:val="20"/>
              </w:rPr>
              <w:t xml:space="preserve">Comunicación” </w:t>
            </w:r>
            <w:r>
              <w:rPr>
                <w:rFonts w:cs="Times New Roman"/>
                <w:sz w:val="20"/>
              </w:rPr>
              <w:t>a</w:t>
            </w:r>
            <w:r>
              <w:rPr>
                <w:rFonts w:cs="Times New Roman"/>
                <w:spacing w:val="-2"/>
                <w:sz w:val="20"/>
              </w:rPr>
              <w:t xml:space="preserve"> </w:t>
            </w:r>
            <w:r>
              <w:rPr>
                <w:rFonts w:cs="Times New Roman"/>
                <w:sz w:val="20"/>
              </w:rPr>
              <w:t>los</w:t>
            </w:r>
            <w:r>
              <w:rPr>
                <w:rFonts w:cs="Times New Roman"/>
                <w:spacing w:val="-1"/>
                <w:sz w:val="20"/>
              </w:rPr>
              <w:t xml:space="preserve"> </w:t>
            </w:r>
            <w:r>
              <w:rPr>
                <w:rFonts w:cs="Times New Roman"/>
                <w:sz w:val="20"/>
              </w:rPr>
              <w:t>miembros de la Unidad de</w:t>
            </w:r>
            <w:r>
              <w:rPr>
                <w:rFonts w:cs="Times New Roman"/>
                <w:spacing w:val="-1"/>
                <w:sz w:val="20"/>
              </w:rPr>
              <w:t xml:space="preserve"> </w:t>
            </w:r>
            <w:r>
              <w:rPr>
                <w:rFonts w:cs="Times New Roman"/>
                <w:sz w:val="20"/>
              </w:rPr>
              <w:t>Comunicación Social</w:t>
            </w:r>
            <w:r>
              <w:rPr>
                <w:rFonts w:cs="Times New Roman"/>
                <w:spacing w:val="-1"/>
                <w:sz w:val="20"/>
              </w:rPr>
              <w:t xml:space="preserve"> </w:t>
            </w:r>
            <w:r>
              <w:rPr>
                <w:rFonts w:cs="Times New Roman"/>
                <w:sz w:val="20"/>
              </w:rPr>
              <w:lastRenderedPageBreak/>
              <w:t>de la Procuraduría General del Estado (82 horas académicas).</w:t>
            </w:r>
          </w:p>
          <w:p>
            <w:pPr>
              <w:pStyle w:val="TableParagraph"/>
              <w:spacing w:before="267"/>
              <w:ind w:right="148"/>
              <w:jc w:val="both"/>
              <w:rPr>
                <w:rFonts w:cs="Times New Roman"/>
                <w:sz w:val="20"/>
              </w:rPr>
            </w:pPr>
            <w:r>
              <w:rPr>
                <w:rFonts w:cs="Times New Roman"/>
                <w:sz w:val="20"/>
              </w:rPr>
              <w:t>Previo a la entrega de certificados, se evaluará la participación activa</w:t>
            </w:r>
            <w:r>
              <w:rPr>
                <w:rFonts w:cs="Times New Roman"/>
                <w:spacing w:val="-3"/>
                <w:sz w:val="20"/>
              </w:rPr>
              <w:t xml:space="preserve"> </w:t>
            </w:r>
            <w:r>
              <w:rPr>
                <w:rFonts w:cs="Times New Roman"/>
                <w:sz w:val="20"/>
              </w:rPr>
              <w:t>de</w:t>
            </w:r>
            <w:r>
              <w:rPr>
                <w:rFonts w:cs="Times New Roman"/>
                <w:spacing w:val="-3"/>
                <w:sz w:val="20"/>
              </w:rPr>
              <w:t xml:space="preserve"> </w:t>
            </w:r>
            <w:r>
              <w:rPr>
                <w:rFonts w:cs="Times New Roman"/>
                <w:sz w:val="20"/>
              </w:rPr>
              <w:t>cada</w:t>
            </w:r>
            <w:r>
              <w:rPr>
                <w:rFonts w:cs="Times New Roman"/>
                <w:spacing w:val="-1"/>
                <w:sz w:val="20"/>
              </w:rPr>
              <w:t xml:space="preserve"> </w:t>
            </w:r>
            <w:r>
              <w:rPr>
                <w:rFonts w:cs="Times New Roman"/>
                <w:sz w:val="20"/>
              </w:rPr>
              <w:t>miembro</w:t>
            </w:r>
            <w:r>
              <w:rPr>
                <w:rFonts w:cs="Times New Roman"/>
                <w:spacing w:val="-4"/>
                <w:sz w:val="20"/>
              </w:rPr>
              <w:t xml:space="preserve"> </w:t>
            </w:r>
            <w:r>
              <w:rPr>
                <w:rFonts w:cs="Times New Roman"/>
                <w:sz w:val="20"/>
              </w:rPr>
              <w:t>de</w:t>
            </w:r>
            <w:r>
              <w:rPr>
                <w:rFonts w:cs="Times New Roman"/>
                <w:spacing w:val="-2"/>
                <w:sz w:val="20"/>
              </w:rPr>
              <w:t xml:space="preserve"> </w:t>
            </w:r>
            <w:r>
              <w:rPr>
                <w:rFonts w:cs="Times New Roman"/>
                <w:sz w:val="20"/>
              </w:rPr>
              <w:t>la</w:t>
            </w:r>
            <w:r>
              <w:rPr>
                <w:rFonts w:cs="Times New Roman"/>
                <w:spacing w:val="-3"/>
                <w:sz w:val="20"/>
              </w:rPr>
              <w:t xml:space="preserve"> </w:t>
            </w:r>
            <w:r>
              <w:rPr>
                <w:rFonts w:cs="Times New Roman"/>
                <w:sz w:val="20"/>
              </w:rPr>
              <w:t>Unidad</w:t>
            </w:r>
            <w:r>
              <w:rPr>
                <w:rFonts w:cs="Times New Roman"/>
                <w:spacing w:val="-3"/>
                <w:sz w:val="20"/>
              </w:rPr>
              <w:t xml:space="preserve"> </w:t>
            </w:r>
            <w:r>
              <w:rPr>
                <w:rFonts w:cs="Times New Roman"/>
                <w:sz w:val="20"/>
              </w:rPr>
              <w:t>de</w:t>
            </w:r>
            <w:r>
              <w:rPr>
                <w:rFonts w:cs="Times New Roman"/>
                <w:spacing w:val="-4"/>
                <w:sz w:val="20"/>
              </w:rPr>
              <w:t xml:space="preserve"> </w:t>
            </w:r>
            <w:r>
              <w:rPr>
                <w:rFonts w:cs="Times New Roman"/>
                <w:sz w:val="20"/>
              </w:rPr>
              <w:t>Comunicación</w:t>
            </w:r>
            <w:r>
              <w:rPr>
                <w:rFonts w:cs="Times New Roman"/>
                <w:spacing w:val="-1"/>
                <w:sz w:val="20"/>
              </w:rPr>
              <w:t xml:space="preserve"> </w:t>
            </w:r>
            <w:r>
              <w:rPr>
                <w:rFonts w:cs="Times New Roman"/>
                <w:sz w:val="20"/>
              </w:rPr>
              <w:t>Social</w:t>
            </w:r>
            <w:r>
              <w:rPr>
                <w:rFonts w:cs="Times New Roman"/>
                <w:spacing w:val="-4"/>
                <w:sz w:val="20"/>
              </w:rPr>
              <w:t xml:space="preserve"> </w:t>
            </w:r>
            <w:r>
              <w:rPr>
                <w:rFonts w:cs="Times New Roman"/>
                <w:sz w:val="20"/>
              </w:rPr>
              <w:t xml:space="preserve">en la elaboración de la Estrategia de Comunicación Digital. Los funcionarios que superen los 70 puntos sobre 100 obtendrán la </w:t>
            </w:r>
            <w:r>
              <w:rPr>
                <w:rFonts w:cs="Times New Roman"/>
                <w:spacing w:val="-2"/>
                <w:sz w:val="20"/>
              </w:rPr>
              <w:t>certificación.</w:t>
            </w:r>
          </w:p>
          <w:p>
            <w:pPr>
              <w:pStyle w:val="TableParagraph"/>
              <w:spacing w:before="1"/>
              <w:rPr>
                <w:rFonts w:cs="Times New Roman"/>
                <w:b/>
                <w:sz w:val="20"/>
              </w:rPr>
            </w:pPr>
          </w:p>
          <w:p>
            <w:pPr>
              <w:pStyle w:val="TableParagraph"/>
              <w:ind w:right="147"/>
              <w:jc w:val="both"/>
              <w:rPr>
                <w:rFonts w:cs="Times New Roman"/>
                <w:color w:val="000000"/>
                <w:sz w:val="20"/>
              </w:rPr>
            </w:pPr>
            <w:r>
              <w:rPr>
                <w:rFonts w:cs="Times New Roman"/>
                <w:sz w:val="20"/>
              </w:rPr>
              <w:t>Una vez que el Contratista entregue los certificados, entregará un informe final con el reporte de todas las actividades desarrolladas</w:t>
            </w:r>
            <w:r>
              <w:rPr>
                <w:rFonts w:cs="Times New Roman"/>
                <w:spacing w:val="42"/>
                <w:sz w:val="20"/>
              </w:rPr>
              <w:t xml:space="preserve">  </w:t>
            </w:r>
            <w:r>
              <w:rPr>
                <w:rFonts w:cs="Times New Roman"/>
                <w:sz w:val="20"/>
              </w:rPr>
              <w:t>durante</w:t>
            </w:r>
            <w:r>
              <w:rPr>
                <w:rFonts w:cs="Times New Roman"/>
                <w:spacing w:val="41"/>
                <w:sz w:val="20"/>
              </w:rPr>
              <w:t xml:space="preserve">  </w:t>
            </w:r>
            <w:r>
              <w:rPr>
                <w:rFonts w:cs="Times New Roman"/>
                <w:sz w:val="20"/>
              </w:rPr>
              <w:t>la</w:t>
            </w:r>
            <w:r>
              <w:rPr>
                <w:rFonts w:cs="Times New Roman"/>
                <w:spacing w:val="42"/>
                <w:sz w:val="20"/>
              </w:rPr>
              <w:t xml:space="preserve">  </w:t>
            </w:r>
            <w:r>
              <w:rPr>
                <w:rFonts w:cs="Times New Roman"/>
                <w:sz w:val="20"/>
              </w:rPr>
              <w:t>ejecución</w:t>
            </w:r>
            <w:r>
              <w:rPr>
                <w:rFonts w:cs="Times New Roman"/>
                <w:spacing w:val="42"/>
                <w:sz w:val="20"/>
              </w:rPr>
              <w:t xml:space="preserve">  </w:t>
            </w:r>
            <w:r>
              <w:rPr>
                <w:rFonts w:cs="Times New Roman"/>
                <w:sz w:val="20"/>
              </w:rPr>
              <w:t>del</w:t>
            </w:r>
            <w:r>
              <w:rPr>
                <w:rFonts w:cs="Times New Roman"/>
                <w:spacing w:val="70"/>
                <w:w w:val="150"/>
                <w:sz w:val="20"/>
              </w:rPr>
              <w:t xml:space="preserve"> </w:t>
            </w:r>
            <w:r>
              <w:rPr>
                <w:rFonts w:cs="Times New Roman"/>
                <w:sz w:val="20"/>
              </w:rPr>
              <w:t>contrato</w:t>
            </w:r>
            <w:r>
              <w:rPr>
                <w:rFonts w:cs="Times New Roman"/>
                <w:spacing w:val="67"/>
                <w:w w:val="150"/>
                <w:sz w:val="20"/>
              </w:rPr>
              <w:t xml:space="preserve"> </w:t>
            </w:r>
            <w:r>
              <w:rPr>
                <w:rFonts w:cs="Times New Roman"/>
                <w:sz w:val="20"/>
              </w:rPr>
              <w:t>con</w:t>
            </w:r>
            <w:r>
              <w:rPr>
                <w:rFonts w:cs="Times New Roman"/>
                <w:spacing w:val="68"/>
                <w:w w:val="150"/>
                <w:sz w:val="20"/>
              </w:rPr>
              <w:t xml:space="preserve"> </w:t>
            </w:r>
            <w:r>
              <w:rPr>
                <w:rFonts w:cs="Times New Roman"/>
                <w:spacing w:val="-5"/>
                <w:sz w:val="20"/>
              </w:rPr>
              <w:t xml:space="preserve">sus </w:t>
            </w:r>
            <w:r>
              <w:rPr>
                <w:rFonts w:cs="Times New Roman"/>
                <w:spacing w:val="-4"/>
                <w:sz w:val="20"/>
              </w:rPr>
              <w:t>respectivos</w:t>
            </w:r>
            <w:r>
              <w:rPr>
                <w:rFonts w:cs="Times New Roman"/>
                <w:spacing w:val="10"/>
                <w:sz w:val="20"/>
              </w:rPr>
              <w:t xml:space="preserve"> </w:t>
            </w:r>
            <w:r>
              <w:rPr>
                <w:rFonts w:cs="Times New Roman"/>
                <w:spacing w:val="-4"/>
                <w:sz w:val="20"/>
              </w:rPr>
              <w:t>verificables</w:t>
            </w:r>
            <w:r>
              <w:rPr>
                <w:rFonts w:cs="Times New Roman"/>
                <w:spacing w:val="11"/>
                <w:sz w:val="20"/>
              </w:rPr>
              <w:t xml:space="preserve"> </w:t>
            </w:r>
            <w:r>
              <w:rPr>
                <w:rFonts w:cs="Times New Roman"/>
                <w:spacing w:val="-4"/>
                <w:sz w:val="20"/>
              </w:rPr>
              <w:t>(documentos,</w:t>
            </w:r>
            <w:r>
              <w:rPr>
                <w:rFonts w:cs="Times New Roman"/>
                <w:spacing w:val="9"/>
                <w:sz w:val="20"/>
              </w:rPr>
              <w:t xml:space="preserve"> </w:t>
            </w:r>
            <w:r>
              <w:rPr>
                <w:rFonts w:cs="Times New Roman"/>
                <w:spacing w:val="-4"/>
                <w:sz w:val="20"/>
              </w:rPr>
              <w:t>fotos,</w:t>
            </w:r>
            <w:r>
              <w:rPr>
                <w:rFonts w:cs="Times New Roman"/>
                <w:spacing w:val="10"/>
                <w:sz w:val="20"/>
              </w:rPr>
              <w:t xml:space="preserve"> </w:t>
            </w:r>
            <w:r>
              <w:rPr>
                <w:rFonts w:cs="Times New Roman"/>
                <w:spacing w:val="-4"/>
                <w:sz w:val="20"/>
              </w:rPr>
              <w:t>etc.).</w:t>
            </w:r>
          </w:p>
        </w:tc>
        <w:tc>
          <w:tcPr>
            <w:tcW w:w="1133" w:type="dxa"/>
            <w:vMerge/>
            <w:shd w:val="clear" w:color="auto" w:fill="auto"/>
            <w:vAlign w:val="center"/>
          </w:tcPr>
          <w:p>
            <w:pPr>
              <w:jc w:val="right"/>
              <w:rPr>
                <w:color w:val="000000"/>
                <w:sz w:val="20"/>
                <w:szCs w:val="20"/>
              </w:rPr>
            </w:pPr>
          </w:p>
        </w:tc>
        <w:tc>
          <w:tcPr>
            <w:tcW w:w="909" w:type="dxa"/>
            <w:vMerge/>
            <w:shd w:val="clear" w:color="auto" w:fill="auto"/>
            <w:vAlign w:val="center"/>
          </w:tcPr>
          <w:p>
            <w:pPr>
              <w:rPr>
                <w:color w:val="000000"/>
                <w:sz w:val="20"/>
                <w:szCs w:val="20"/>
              </w:rPr>
            </w:pPr>
          </w:p>
        </w:tc>
        <w:tc>
          <w:tcPr>
            <w:tcW w:w="2251" w:type="dxa"/>
            <w:vMerge/>
            <w:shd w:val="clear" w:color="auto" w:fill="auto"/>
            <w:noWrap/>
          </w:tcPr>
          <w:p>
            <w:pPr>
              <w:rPr>
                <w:color w:val="000000"/>
                <w:sz w:val="20"/>
                <w:szCs w:val="20"/>
              </w:rPr>
            </w:pPr>
          </w:p>
        </w:tc>
        <w:tc>
          <w:tcPr>
            <w:tcW w:w="1418" w:type="dxa"/>
            <w:vMerge/>
            <w:shd w:val="clear" w:color="auto" w:fill="auto"/>
            <w:vAlign w:val="center"/>
          </w:tcPr>
          <w:p>
            <w:pPr>
              <w:rPr>
                <w:color w:val="000000"/>
                <w:sz w:val="20"/>
                <w:szCs w:val="20"/>
              </w:rPr>
            </w:pPr>
          </w:p>
        </w:tc>
        <w:tc>
          <w:tcPr>
            <w:tcW w:w="2126" w:type="dxa"/>
            <w:vMerge/>
            <w:shd w:val="clear" w:color="auto" w:fill="auto"/>
            <w:vAlign w:val="center"/>
          </w:tcPr>
          <w:p>
            <w:pPr>
              <w:rPr>
                <w:color w:val="000000"/>
                <w:sz w:val="20"/>
                <w:szCs w:val="20"/>
              </w:rPr>
            </w:pPr>
          </w:p>
        </w:tc>
        <w:tc>
          <w:tcPr>
            <w:tcW w:w="2011" w:type="dxa"/>
            <w:vMerge/>
            <w:shd w:val="clear" w:color="auto" w:fill="auto"/>
            <w:vAlign w:val="center"/>
          </w:tcPr>
          <w:p>
            <w:pPr>
              <w:rPr>
                <w:color w:val="000000"/>
                <w:sz w:val="20"/>
                <w:szCs w:val="20"/>
              </w:rPr>
            </w:pPr>
          </w:p>
        </w:tc>
      </w:tr>
    </w:tbl>
    <w:p>
      <w:pPr>
        <w:jc w:val="center"/>
        <w:rPr>
          <w:lang w:val="es-ES"/>
        </w:rPr>
      </w:pPr>
    </w:p>
    <w:p>
      <w:pPr>
        <w:jc w:val="center"/>
        <w:rPr>
          <w:lang w:val="es-ES"/>
        </w:rPr>
        <w:sectPr>
          <w:headerReference w:type="even" r:id="rId44"/>
          <w:headerReference w:type="default" r:id="rId45"/>
          <w:headerReference w:type="first" r:id="rId46"/>
          <w:pgSz w:w="16838" w:h="11906" w:orient="landscape" w:code="9"/>
          <w:pgMar w:top="1797" w:right="1440" w:bottom="1440" w:left="1440" w:header="720" w:footer="720" w:gutter="0"/>
          <w:paperSrc w:first="261" w:other="261"/>
          <w:pgNumType w:chapStyle="1"/>
          <w:cols w:space="720"/>
        </w:sectPr>
      </w:pPr>
    </w:p>
    <w:p>
      <w:pPr>
        <w:ind w:left="5"/>
        <w:jc w:val="center"/>
        <w:rPr>
          <w:b/>
          <w:sz w:val="22"/>
          <w:szCs w:val="22"/>
        </w:rPr>
      </w:pPr>
      <w:bookmarkStart w:id="730" w:name="_Toc454621008"/>
      <w:bookmarkStart w:id="731" w:name="_Toc68320560"/>
      <w:bookmarkStart w:id="732" w:name="_Toc486940235"/>
      <w:bookmarkStart w:id="733" w:name="_Toc19100091"/>
      <w:bookmarkStart w:id="734" w:name="_Toc175251324"/>
      <w:r>
        <w:rPr>
          <w:b/>
          <w:sz w:val="22"/>
          <w:szCs w:val="22"/>
        </w:rPr>
        <w:lastRenderedPageBreak/>
        <w:t xml:space="preserve">3. </w:t>
      </w:r>
      <w:bookmarkEnd w:id="730"/>
      <w:bookmarkEnd w:id="731"/>
      <w:bookmarkEnd w:id="732"/>
      <w:bookmarkEnd w:id="733"/>
      <w:bookmarkEnd w:id="734"/>
      <w:r>
        <w:rPr>
          <w:b/>
          <w:spacing w:val="-4"/>
          <w:sz w:val="22"/>
          <w:szCs w:val="22"/>
        </w:rPr>
        <w:t>TÉRMINOS</w:t>
      </w:r>
      <w:r>
        <w:rPr>
          <w:b/>
          <w:spacing w:val="-12"/>
          <w:sz w:val="22"/>
          <w:szCs w:val="22"/>
        </w:rPr>
        <w:t xml:space="preserve"> </w:t>
      </w:r>
      <w:r>
        <w:rPr>
          <w:b/>
          <w:spacing w:val="-4"/>
          <w:sz w:val="22"/>
          <w:szCs w:val="22"/>
        </w:rPr>
        <w:t>DE</w:t>
      </w:r>
      <w:r>
        <w:rPr>
          <w:b/>
          <w:spacing w:val="-5"/>
          <w:sz w:val="22"/>
          <w:szCs w:val="22"/>
        </w:rPr>
        <w:t xml:space="preserve"> </w:t>
      </w:r>
      <w:r>
        <w:rPr>
          <w:b/>
          <w:spacing w:val="-4"/>
          <w:sz w:val="22"/>
          <w:szCs w:val="22"/>
        </w:rPr>
        <w:t>REFERENCIA</w:t>
      </w:r>
    </w:p>
    <w:p>
      <w:pPr>
        <w:pStyle w:val="Textoindependiente"/>
        <w:rPr>
          <w:rFonts w:ascii="Times New Roman" w:hAnsi="Times New Roman" w:cs="Times New Roman"/>
          <w:b/>
          <w:sz w:val="22"/>
          <w:szCs w:val="22"/>
        </w:rPr>
      </w:pPr>
    </w:p>
    <w:p>
      <w:pPr>
        <w:ind w:left="4"/>
        <w:jc w:val="center"/>
        <w:rPr>
          <w:b/>
          <w:sz w:val="22"/>
          <w:szCs w:val="22"/>
        </w:rPr>
      </w:pPr>
      <w:r>
        <w:rPr>
          <w:b/>
          <w:sz w:val="22"/>
          <w:szCs w:val="22"/>
        </w:rPr>
        <w:t>PROGRAMA</w:t>
      </w:r>
      <w:r>
        <w:rPr>
          <w:b/>
          <w:spacing w:val="-8"/>
          <w:sz w:val="22"/>
          <w:szCs w:val="22"/>
        </w:rPr>
        <w:t xml:space="preserve"> </w:t>
      </w:r>
      <w:r>
        <w:rPr>
          <w:b/>
          <w:sz w:val="22"/>
          <w:szCs w:val="22"/>
        </w:rPr>
        <w:t>DE</w:t>
      </w:r>
      <w:r>
        <w:rPr>
          <w:b/>
          <w:spacing w:val="-6"/>
          <w:sz w:val="22"/>
          <w:szCs w:val="22"/>
        </w:rPr>
        <w:t xml:space="preserve"> </w:t>
      </w:r>
      <w:r>
        <w:rPr>
          <w:b/>
          <w:sz w:val="22"/>
          <w:szCs w:val="22"/>
        </w:rPr>
        <w:t>MODERNIZACIÓN</w:t>
      </w:r>
      <w:r>
        <w:rPr>
          <w:b/>
          <w:spacing w:val="-6"/>
          <w:sz w:val="22"/>
          <w:szCs w:val="22"/>
        </w:rPr>
        <w:t xml:space="preserve"> </w:t>
      </w:r>
      <w:r>
        <w:rPr>
          <w:b/>
          <w:sz w:val="22"/>
          <w:szCs w:val="22"/>
        </w:rPr>
        <w:t>DE</w:t>
      </w:r>
      <w:r>
        <w:rPr>
          <w:b/>
          <w:spacing w:val="-4"/>
          <w:sz w:val="22"/>
          <w:szCs w:val="22"/>
        </w:rPr>
        <w:t xml:space="preserve"> </w:t>
      </w:r>
      <w:r>
        <w:rPr>
          <w:b/>
          <w:sz w:val="22"/>
          <w:szCs w:val="22"/>
        </w:rPr>
        <w:t>LA</w:t>
      </w:r>
      <w:r>
        <w:rPr>
          <w:b/>
          <w:spacing w:val="-5"/>
          <w:sz w:val="22"/>
          <w:szCs w:val="22"/>
        </w:rPr>
        <w:t xml:space="preserve"> </w:t>
      </w:r>
      <w:r>
        <w:rPr>
          <w:b/>
          <w:sz w:val="22"/>
          <w:szCs w:val="22"/>
        </w:rPr>
        <w:t>ADMINISTRACIÓN</w:t>
      </w:r>
      <w:r>
        <w:rPr>
          <w:b/>
          <w:spacing w:val="-6"/>
          <w:sz w:val="22"/>
          <w:szCs w:val="22"/>
        </w:rPr>
        <w:t xml:space="preserve"> </w:t>
      </w:r>
      <w:r>
        <w:rPr>
          <w:b/>
          <w:sz w:val="22"/>
          <w:szCs w:val="22"/>
        </w:rPr>
        <w:t>FINANCIERA</w:t>
      </w:r>
      <w:r>
        <w:rPr>
          <w:b/>
          <w:spacing w:val="-3"/>
          <w:sz w:val="22"/>
          <w:szCs w:val="22"/>
        </w:rPr>
        <w:t xml:space="preserve"> </w:t>
      </w:r>
      <w:r>
        <w:rPr>
          <w:b/>
          <w:sz w:val="22"/>
          <w:szCs w:val="22"/>
        </w:rPr>
        <w:t>-</w:t>
      </w:r>
      <w:r>
        <w:rPr>
          <w:b/>
          <w:spacing w:val="-11"/>
          <w:sz w:val="22"/>
          <w:szCs w:val="22"/>
        </w:rPr>
        <w:t xml:space="preserve"> </w:t>
      </w:r>
      <w:r>
        <w:rPr>
          <w:b/>
          <w:sz w:val="22"/>
          <w:szCs w:val="22"/>
        </w:rPr>
        <w:t>(EC-</w:t>
      </w:r>
      <w:r>
        <w:rPr>
          <w:b/>
          <w:spacing w:val="-2"/>
          <w:sz w:val="22"/>
          <w:szCs w:val="22"/>
        </w:rPr>
        <w:t>L1249)/BID</w:t>
      </w:r>
    </w:p>
    <w:p>
      <w:pPr>
        <w:pStyle w:val="Textoindependiente"/>
        <w:rPr>
          <w:rFonts w:ascii="Times New Roman" w:hAnsi="Times New Roman" w:cs="Times New Roman"/>
          <w:b/>
          <w:sz w:val="22"/>
          <w:szCs w:val="22"/>
        </w:rPr>
      </w:pPr>
    </w:p>
    <w:p>
      <w:pPr>
        <w:pStyle w:val="Textoindependiente"/>
        <w:rPr>
          <w:rFonts w:ascii="Times New Roman" w:hAnsi="Times New Roman" w:cs="Times New Roman"/>
          <w:b/>
          <w:sz w:val="22"/>
          <w:szCs w:val="22"/>
        </w:rPr>
      </w:pPr>
    </w:p>
    <w:tbl>
      <w:tblPr>
        <w:tblStyle w:val="TableNormal"/>
        <w:tblW w:w="9072" w:type="dxa"/>
        <w:tblInd w:w="426" w:type="dxa"/>
        <w:tblLayout w:type="fixed"/>
        <w:tblLook w:val="01E0" w:firstRow="1" w:lastRow="1" w:firstColumn="1" w:lastColumn="1" w:noHBand="0" w:noVBand="0"/>
      </w:tblPr>
      <w:tblGrid>
        <w:gridCol w:w="2389"/>
        <w:gridCol w:w="6683"/>
      </w:tblGrid>
      <w:tr>
        <w:trPr>
          <w:trHeight w:val="394"/>
        </w:trPr>
        <w:tc>
          <w:tcPr>
            <w:tcW w:w="2389" w:type="dxa"/>
          </w:tcPr>
          <w:p>
            <w:pPr>
              <w:pStyle w:val="TableParagraph"/>
              <w:ind w:left="54"/>
              <w:rPr>
                <w:rFonts w:ascii="Times New Roman" w:hAnsi="Times New Roman" w:cs="Times New Roman"/>
                <w:b/>
              </w:rPr>
            </w:pPr>
            <w:r>
              <w:rPr>
                <w:rFonts w:ascii="Times New Roman" w:hAnsi="Times New Roman" w:cs="Times New Roman"/>
                <w:b/>
                <w:spacing w:val="-2"/>
              </w:rPr>
              <w:t>Componente:</w:t>
            </w:r>
          </w:p>
        </w:tc>
        <w:tc>
          <w:tcPr>
            <w:tcW w:w="6683" w:type="dxa"/>
          </w:tcPr>
          <w:p>
            <w:pPr>
              <w:pStyle w:val="TableParagraph"/>
              <w:ind w:left="32"/>
              <w:rPr>
                <w:rFonts w:ascii="Times New Roman" w:hAnsi="Times New Roman" w:cs="Times New Roman"/>
              </w:rPr>
            </w:pPr>
            <w:r>
              <w:rPr>
                <w:rFonts w:ascii="Times New Roman" w:hAnsi="Times New Roman" w:cs="Times New Roman"/>
                <w:color w:val="222222"/>
              </w:rPr>
              <w:t>V</w:t>
            </w:r>
            <w:r>
              <w:rPr>
                <w:rFonts w:ascii="Times New Roman" w:hAnsi="Times New Roman" w:cs="Times New Roman"/>
                <w:color w:val="222222"/>
                <w:spacing w:val="-3"/>
              </w:rPr>
              <w:t xml:space="preserve"> </w:t>
            </w:r>
            <w:r>
              <w:rPr>
                <w:rFonts w:ascii="Times New Roman" w:hAnsi="Times New Roman" w:cs="Times New Roman"/>
                <w:color w:val="222222"/>
              </w:rPr>
              <w:t>–</w:t>
            </w:r>
            <w:r>
              <w:rPr>
                <w:rFonts w:ascii="Times New Roman" w:hAnsi="Times New Roman" w:cs="Times New Roman"/>
                <w:color w:val="222222"/>
                <w:spacing w:val="-3"/>
              </w:rPr>
              <w:t xml:space="preserve"> </w:t>
            </w:r>
            <w:r>
              <w:rPr>
                <w:rFonts w:ascii="Times New Roman" w:hAnsi="Times New Roman" w:cs="Times New Roman"/>
                <w:color w:val="222222"/>
              </w:rPr>
              <w:t>Diseñar</w:t>
            </w:r>
            <w:r>
              <w:rPr>
                <w:rFonts w:ascii="Times New Roman" w:hAnsi="Times New Roman" w:cs="Times New Roman"/>
                <w:color w:val="222222"/>
                <w:spacing w:val="-3"/>
              </w:rPr>
              <w:t xml:space="preserve"> </w:t>
            </w:r>
            <w:r>
              <w:rPr>
                <w:rFonts w:ascii="Times New Roman" w:hAnsi="Times New Roman" w:cs="Times New Roman"/>
                <w:color w:val="222222"/>
              </w:rPr>
              <w:t>e</w:t>
            </w:r>
            <w:r>
              <w:rPr>
                <w:rFonts w:ascii="Times New Roman" w:hAnsi="Times New Roman" w:cs="Times New Roman"/>
                <w:color w:val="222222"/>
                <w:spacing w:val="-3"/>
              </w:rPr>
              <w:t xml:space="preserve"> </w:t>
            </w:r>
            <w:r>
              <w:rPr>
                <w:rFonts w:ascii="Times New Roman" w:hAnsi="Times New Roman" w:cs="Times New Roman"/>
                <w:color w:val="222222"/>
              </w:rPr>
              <w:t>implementar</w:t>
            </w:r>
            <w:r>
              <w:rPr>
                <w:rFonts w:ascii="Times New Roman" w:hAnsi="Times New Roman" w:cs="Times New Roman"/>
                <w:color w:val="222222"/>
                <w:spacing w:val="-4"/>
              </w:rPr>
              <w:t xml:space="preserve"> </w:t>
            </w:r>
            <w:r>
              <w:rPr>
                <w:rFonts w:ascii="Times New Roman" w:hAnsi="Times New Roman" w:cs="Times New Roman"/>
                <w:color w:val="222222"/>
              </w:rPr>
              <w:t>la</w:t>
            </w:r>
            <w:r>
              <w:rPr>
                <w:rFonts w:ascii="Times New Roman" w:hAnsi="Times New Roman" w:cs="Times New Roman"/>
                <w:color w:val="222222"/>
                <w:spacing w:val="-3"/>
              </w:rPr>
              <w:t xml:space="preserve"> </w:t>
            </w:r>
            <w:r>
              <w:rPr>
                <w:rFonts w:ascii="Times New Roman" w:hAnsi="Times New Roman" w:cs="Times New Roman"/>
                <w:color w:val="222222"/>
              </w:rPr>
              <w:t>Estrategia</w:t>
            </w:r>
            <w:r>
              <w:rPr>
                <w:rFonts w:ascii="Times New Roman" w:hAnsi="Times New Roman" w:cs="Times New Roman"/>
                <w:color w:val="222222"/>
                <w:spacing w:val="-6"/>
              </w:rPr>
              <w:t xml:space="preserve"> </w:t>
            </w:r>
            <w:r>
              <w:rPr>
                <w:rFonts w:ascii="Times New Roman" w:hAnsi="Times New Roman" w:cs="Times New Roman"/>
                <w:color w:val="222222"/>
              </w:rPr>
              <w:t>de</w:t>
            </w:r>
            <w:r>
              <w:rPr>
                <w:rFonts w:ascii="Times New Roman" w:hAnsi="Times New Roman" w:cs="Times New Roman"/>
                <w:color w:val="222222"/>
                <w:spacing w:val="-5"/>
              </w:rPr>
              <w:t xml:space="preserve"> </w:t>
            </w:r>
            <w:r>
              <w:rPr>
                <w:rFonts w:ascii="Times New Roman" w:hAnsi="Times New Roman" w:cs="Times New Roman"/>
                <w:color w:val="222222"/>
                <w:spacing w:val="-2"/>
              </w:rPr>
              <w:t>Comunicación</w:t>
            </w:r>
          </w:p>
        </w:tc>
      </w:tr>
      <w:tr>
        <w:trPr>
          <w:trHeight w:val="836"/>
        </w:trPr>
        <w:tc>
          <w:tcPr>
            <w:tcW w:w="2389" w:type="dxa"/>
          </w:tcPr>
          <w:p>
            <w:pPr>
              <w:pStyle w:val="TableParagraph"/>
              <w:ind w:left="50" w:firstLine="4"/>
              <w:rPr>
                <w:rFonts w:ascii="Times New Roman" w:hAnsi="Times New Roman" w:cs="Times New Roman"/>
                <w:b/>
              </w:rPr>
            </w:pPr>
            <w:r>
              <w:rPr>
                <w:rFonts w:ascii="Times New Roman" w:hAnsi="Times New Roman" w:cs="Times New Roman"/>
                <w:b/>
              </w:rPr>
              <w:t>Objeto</w:t>
            </w:r>
            <w:r>
              <w:rPr>
                <w:rFonts w:ascii="Times New Roman" w:hAnsi="Times New Roman" w:cs="Times New Roman"/>
                <w:b/>
                <w:spacing w:val="-1"/>
              </w:rPr>
              <w:t xml:space="preserve"> </w:t>
            </w:r>
            <w:r>
              <w:rPr>
                <w:rFonts w:ascii="Times New Roman" w:hAnsi="Times New Roman" w:cs="Times New Roman"/>
                <w:b/>
              </w:rPr>
              <w:t xml:space="preserve">de </w:t>
            </w:r>
            <w:r>
              <w:rPr>
                <w:rFonts w:ascii="Times New Roman" w:hAnsi="Times New Roman" w:cs="Times New Roman"/>
                <w:b/>
                <w:spacing w:val="-4"/>
              </w:rPr>
              <w:t>contratación:</w:t>
            </w:r>
          </w:p>
        </w:tc>
        <w:tc>
          <w:tcPr>
            <w:tcW w:w="6683" w:type="dxa"/>
          </w:tcPr>
          <w:p>
            <w:pPr>
              <w:pStyle w:val="TableParagraph"/>
              <w:ind w:left="34"/>
              <w:rPr>
                <w:rFonts w:ascii="Times New Roman" w:hAnsi="Times New Roman" w:cs="Times New Roman"/>
              </w:rPr>
            </w:pPr>
            <w:r>
              <w:rPr>
                <w:rFonts w:ascii="Times New Roman" w:hAnsi="Times New Roman" w:cs="Times New Roman"/>
                <w:color w:val="222222"/>
              </w:rPr>
              <w:t>Capacitación</w:t>
            </w:r>
            <w:r>
              <w:rPr>
                <w:rFonts w:ascii="Times New Roman" w:hAnsi="Times New Roman" w:cs="Times New Roman"/>
                <w:color w:val="222222"/>
                <w:spacing w:val="-7"/>
              </w:rPr>
              <w:t xml:space="preserve"> </w:t>
            </w:r>
            <w:r>
              <w:rPr>
                <w:rFonts w:ascii="Times New Roman" w:hAnsi="Times New Roman" w:cs="Times New Roman"/>
                <w:color w:val="222222"/>
              </w:rPr>
              <w:t>Herramientas</w:t>
            </w:r>
            <w:r>
              <w:rPr>
                <w:rFonts w:ascii="Times New Roman" w:hAnsi="Times New Roman" w:cs="Times New Roman"/>
                <w:color w:val="222222"/>
                <w:spacing w:val="-4"/>
              </w:rPr>
              <w:t xml:space="preserve"> </w:t>
            </w:r>
            <w:r>
              <w:rPr>
                <w:rFonts w:ascii="Times New Roman" w:hAnsi="Times New Roman" w:cs="Times New Roman"/>
                <w:color w:val="222222"/>
              </w:rPr>
              <w:t>de</w:t>
            </w:r>
            <w:r>
              <w:rPr>
                <w:rFonts w:ascii="Times New Roman" w:hAnsi="Times New Roman" w:cs="Times New Roman"/>
                <w:color w:val="222222"/>
                <w:spacing w:val="-7"/>
              </w:rPr>
              <w:t xml:space="preserve"> </w:t>
            </w:r>
            <w:r>
              <w:rPr>
                <w:rFonts w:ascii="Times New Roman" w:hAnsi="Times New Roman" w:cs="Times New Roman"/>
                <w:color w:val="222222"/>
                <w:spacing w:val="-2"/>
              </w:rPr>
              <w:t>Comunicación.</w:t>
            </w:r>
          </w:p>
        </w:tc>
      </w:tr>
      <w:tr>
        <w:trPr>
          <w:trHeight w:val="566"/>
        </w:trPr>
        <w:tc>
          <w:tcPr>
            <w:tcW w:w="2389" w:type="dxa"/>
          </w:tcPr>
          <w:p>
            <w:pPr>
              <w:pStyle w:val="TableParagraph"/>
              <w:ind w:left="54"/>
              <w:rPr>
                <w:rFonts w:ascii="Times New Roman" w:hAnsi="Times New Roman" w:cs="Times New Roman"/>
                <w:b/>
              </w:rPr>
            </w:pPr>
            <w:r>
              <w:rPr>
                <w:rFonts w:ascii="Times New Roman" w:hAnsi="Times New Roman" w:cs="Times New Roman"/>
                <w:b/>
              </w:rPr>
              <w:t>Tipo</w:t>
            </w:r>
            <w:r>
              <w:rPr>
                <w:rFonts w:ascii="Times New Roman" w:hAnsi="Times New Roman" w:cs="Times New Roman"/>
                <w:b/>
                <w:spacing w:val="-3"/>
              </w:rPr>
              <w:t xml:space="preserve"> </w:t>
            </w:r>
            <w:r>
              <w:rPr>
                <w:rFonts w:ascii="Times New Roman" w:hAnsi="Times New Roman" w:cs="Times New Roman"/>
                <w:b/>
              </w:rPr>
              <w:t xml:space="preserve">de </w:t>
            </w:r>
            <w:r>
              <w:rPr>
                <w:rFonts w:ascii="Times New Roman" w:hAnsi="Times New Roman" w:cs="Times New Roman"/>
                <w:b/>
                <w:spacing w:val="-2"/>
              </w:rPr>
              <w:t>Proceso:</w:t>
            </w:r>
          </w:p>
        </w:tc>
        <w:tc>
          <w:tcPr>
            <w:tcW w:w="6683" w:type="dxa"/>
          </w:tcPr>
          <w:p>
            <w:pPr>
              <w:pStyle w:val="TableParagraph"/>
              <w:ind w:left="80"/>
              <w:rPr>
                <w:rFonts w:ascii="Times New Roman" w:hAnsi="Times New Roman" w:cs="Times New Roman"/>
              </w:rPr>
            </w:pPr>
            <w:r>
              <w:rPr>
                <w:rFonts w:ascii="Times New Roman" w:hAnsi="Times New Roman" w:cs="Times New Roman"/>
              </w:rPr>
              <w:t>Comparación</w:t>
            </w:r>
            <w:r>
              <w:rPr>
                <w:rFonts w:ascii="Times New Roman" w:hAnsi="Times New Roman" w:cs="Times New Roman"/>
                <w:spacing w:val="-7"/>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Precios</w:t>
            </w:r>
            <w:r>
              <w:rPr>
                <w:rFonts w:ascii="Times New Roman" w:hAnsi="Times New Roman" w:cs="Times New Roman"/>
                <w:spacing w:val="-5"/>
              </w:rPr>
              <w:t xml:space="preserve"> </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Servicios</w:t>
            </w:r>
            <w:r>
              <w:rPr>
                <w:rFonts w:ascii="Times New Roman" w:hAnsi="Times New Roman" w:cs="Times New Roman"/>
                <w:spacing w:val="-4"/>
              </w:rPr>
              <w:t xml:space="preserve"> </w:t>
            </w:r>
            <w:r>
              <w:rPr>
                <w:rFonts w:ascii="Times New Roman" w:hAnsi="Times New Roman" w:cs="Times New Roman"/>
              </w:rPr>
              <w:t>diferentes</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spacing w:val="-2"/>
              </w:rPr>
              <w:t>consultoría</w:t>
            </w:r>
          </w:p>
        </w:tc>
      </w:tr>
      <w:tr>
        <w:trPr>
          <w:trHeight w:val="820"/>
        </w:trPr>
        <w:tc>
          <w:tcPr>
            <w:tcW w:w="2389" w:type="dxa"/>
          </w:tcPr>
          <w:p>
            <w:pPr>
              <w:pStyle w:val="TableParagraph"/>
              <w:ind w:left="54"/>
              <w:rPr>
                <w:rFonts w:ascii="Times New Roman" w:hAnsi="Times New Roman" w:cs="Times New Roman"/>
                <w:b/>
              </w:rPr>
            </w:pPr>
            <w:r>
              <w:rPr>
                <w:rFonts w:ascii="Times New Roman" w:hAnsi="Times New Roman" w:cs="Times New Roman"/>
                <w:b/>
                <w:spacing w:val="-2"/>
              </w:rPr>
              <w:t>Duración:</w:t>
            </w:r>
          </w:p>
        </w:tc>
        <w:tc>
          <w:tcPr>
            <w:tcW w:w="6683" w:type="dxa"/>
          </w:tcPr>
          <w:p>
            <w:pPr>
              <w:pStyle w:val="TableParagraph"/>
              <w:ind w:left="27" w:firstLine="4"/>
              <w:rPr>
                <w:rFonts w:ascii="Times New Roman" w:hAnsi="Times New Roman" w:cs="Times New Roman"/>
              </w:rPr>
            </w:pPr>
            <w:r>
              <w:rPr>
                <w:rFonts w:ascii="Times New Roman" w:hAnsi="Times New Roman" w:cs="Times New Roman"/>
              </w:rPr>
              <w:t>Hasta</w:t>
            </w:r>
            <w:r>
              <w:rPr>
                <w:rFonts w:ascii="Times New Roman" w:hAnsi="Times New Roman" w:cs="Times New Roman"/>
                <w:spacing w:val="-5"/>
              </w:rPr>
              <w:t xml:space="preserve"> </w:t>
            </w:r>
            <w:r>
              <w:rPr>
                <w:rFonts w:ascii="Times New Roman" w:hAnsi="Times New Roman" w:cs="Times New Roman"/>
              </w:rPr>
              <w:t>30</w:t>
            </w:r>
            <w:r>
              <w:rPr>
                <w:rFonts w:ascii="Times New Roman" w:hAnsi="Times New Roman" w:cs="Times New Roman"/>
                <w:spacing w:val="-4"/>
              </w:rPr>
              <w:t xml:space="preserve"> </w:t>
            </w:r>
            <w:r>
              <w:rPr>
                <w:rFonts w:ascii="Times New Roman" w:hAnsi="Times New Roman" w:cs="Times New Roman"/>
              </w:rPr>
              <w:t>días</w:t>
            </w:r>
            <w:r>
              <w:rPr>
                <w:rFonts w:ascii="Times New Roman" w:hAnsi="Times New Roman" w:cs="Times New Roman"/>
                <w:spacing w:val="-2"/>
              </w:rPr>
              <w:t xml:space="preserve"> </w:t>
            </w:r>
            <w:r>
              <w:rPr>
                <w:rFonts w:ascii="Times New Roman" w:hAnsi="Times New Roman" w:cs="Times New Roman"/>
              </w:rPr>
              <w:t>calendario</w:t>
            </w:r>
            <w:r>
              <w:rPr>
                <w:rFonts w:ascii="Times New Roman" w:hAnsi="Times New Roman" w:cs="Times New Roman"/>
                <w:spacing w:val="-4"/>
              </w:rPr>
              <w:t xml:space="preserve"> </w:t>
            </w:r>
            <w:r>
              <w:rPr>
                <w:rFonts w:ascii="Times New Roman" w:hAnsi="Times New Roman" w:cs="Times New Roman"/>
              </w:rPr>
              <w:t>para</w:t>
            </w:r>
            <w:r>
              <w:rPr>
                <w:rFonts w:ascii="Times New Roman" w:hAnsi="Times New Roman" w:cs="Times New Roman"/>
                <w:spacing w:val="-3"/>
              </w:rPr>
              <w:t xml:space="preserve"> </w:t>
            </w:r>
            <w:r>
              <w:rPr>
                <w:rFonts w:ascii="Times New Roman" w:hAnsi="Times New Roman" w:cs="Times New Roman"/>
              </w:rPr>
              <w:t>su</w:t>
            </w:r>
            <w:r>
              <w:rPr>
                <w:rFonts w:ascii="Times New Roman" w:hAnsi="Times New Roman" w:cs="Times New Roman"/>
                <w:spacing w:val="-4"/>
              </w:rPr>
              <w:t xml:space="preserve"> </w:t>
            </w:r>
            <w:r>
              <w:rPr>
                <w:rFonts w:ascii="Times New Roman" w:hAnsi="Times New Roman" w:cs="Times New Roman"/>
              </w:rPr>
              <w:t>ejecución,</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partir</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3"/>
              </w:rPr>
              <w:t xml:space="preserve"> </w:t>
            </w:r>
            <w:r>
              <w:rPr>
                <w:rFonts w:ascii="Times New Roman" w:hAnsi="Times New Roman" w:cs="Times New Roman"/>
              </w:rPr>
              <w:t>la</w:t>
            </w:r>
            <w:r>
              <w:rPr>
                <w:rFonts w:ascii="Times New Roman" w:hAnsi="Times New Roman" w:cs="Times New Roman"/>
                <w:spacing w:val="-4"/>
              </w:rPr>
              <w:t xml:space="preserve"> </w:t>
            </w:r>
            <w:r>
              <w:rPr>
                <w:rFonts w:ascii="Times New Roman" w:hAnsi="Times New Roman" w:cs="Times New Roman"/>
              </w:rPr>
              <w:t>firma</w:t>
            </w:r>
            <w:r>
              <w:rPr>
                <w:rFonts w:ascii="Times New Roman" w:hAnsi="Times New Roman" w:cs="Times New Roman"/>
                <w:spacing w:val="-4"/>
              </w:rPr>
              <w:t xml:space="preserve"> </w:t>
            </w:r>
            <w:r>
              <w:rPr>
                <w:rFonts w:ascii="Times New Roman" w:hAnsi="Times New Roman" w:cs="Times New Roman"/>
              </w:rPr>
              <w:t xml:space="preserve">del </w:t>
            </w:r>
            <w:r>
              <w:rPr>
                <w:rFonts w:ascii="Times New Roman" w:hAnsi="Times New Roman" w:cs="Times New Roman"/>
                <w:spacing w:val="-2"/>
              </w:rPr>
              <w:t>contrato.</w:t>
            </w:r>
          </w:p>
        </w:tc>
      </w:tr>
      <w:tr>
        <w:trPr>
          <w:trHeight w:val="552"/>
        </w:trPr>
        <w:tc>
          <w:tcPr>
            <w:tcW w:w="2389" w:type="dxa"/>
          </w:tcPr>
          <w:p>
            <w:pPr>
              <w:pStyle w:val="TableParagraph"/>
              <w:ind w:left="54"/>
              <w:rPr>
                <w:rFonts w:ascii="Times New Roman" w:hAnsi="Times New Roman" w:cs="Times New Roman"/>
                <w:b/>
              </w:rPr>
            </w:pPr>
            <w:r>
              <w:rPr>
                <w:rFonts w:ascii="Times New Roman" w:hAnsi="Times New Roman" w:cs="Times New Roman"/>
                <w:b/>
                <w:spacing w:val="-2"/>
              </w:rPr>
              <w:t>Costo:</w:t>
            </w:r>
          </w:p>
        </w:tc>
        <w:tc>
          <w:tcPr>
            <w:tcW w:w="6683" w:type="dxa"/>
          </w:tcPr>
          <w:p>
            <w:pPr>
              <w:pStyle w:val="TableParagraph"/>
              <w:ind w:left="32"/>
              <w:rPr>
                <w:rFonts w:ascii="Times New Roman" w:hAnsi="Times New Roman" w:cs="Times New Roman"/>
              </w:rPr>
            </w:pPr>
            <w:r>
              <w:rPr>
                <w:rFonts w:ascii="Times New Roman" w:hAnsi="Times New Roman" w:cs="Times New Roman"/>
              </w:rPr>
              <w:t>USD</w:t>
            </w:r>
            <w:r>
              <w:rPr>
                <w:rFonts w:ascii="Times New Roman" w:hAnsi="Times New Roman" w:cs="Times New Roman"/>
                <w:spacing w:val="-9"/>
              </w:rPr>
              <w:t xml:space="preserve"> </w:t>
            </w:r>
            <w:r>
              <w:rPr>
                <w:rFonts w:ascii="Times New Roman" w:hAnsi="Times New Roman" w:cs="Times New Roman"/>
              </w:rPr>
              <w:t>9.442,00</w:t>
            </w:r>
            <w:r>
              <w:rPr>
                <w:rFonts w:ascii="Times New Roman" w:hAnsi="Times New Roman" w:cs="Times New Roman"/>
                <w:spacing w:val="-7"/>
              </w:rPr>
              <w:t xml:space="preserve"> </w:t>
            </w:r>
            <w:r>
              <w:rPr>
                <w:rFonts w:ascii="Times New Roman" w:hAnsi="Times New Roman" w:cs="Times New Roman"/>
              </w:rPr>
              <w:t>no</w:t>
            </w:r>
            <w:r>
              <w:rPr>
                <w:rFonts w:ascii="Times New Roman" w:hAnsi="Times New Roman" w:cs="Times New Roman"/>
                <w:spacing w:val="-11"/>
              </w:rPr>
              <w:t xml:space="preserve"> </w:t>
            </w:r>
            <w:r>
              <w:rPr>
                <w:rFonts w:ascii="Times New Roman" w:hAnsi="Times New Roman" w:cs="Times New Roman"/>
              </w:rPr>
              <w:t>grava</w:t>
            </w:r>
            <w:r>
              <w:rPr>
                <w:rFonts w:ascii="Times New Roman" w:hAnsi="Times New Roman" w:cs="Times New Roman"/>
                <w:spacing w:val="-5"/>
              </w:rPr>
              <w:t xml:space="preserve"> IVA</w:t>
            </w:r>
          </w:p>
        </w:tc>
      </w:tr>
      <w:tr>
        <w:trPr>
          <w:trHeight w:val="1468"/>
        </w:trPr>
        <w:tc>
          <w:tcPr>
            <w:tcW w:w="2389" w:type="dxa"/>
          </w:tcPr>
          <w:p>
            <w:pPr>
              <w:pStyle w:val="TableParagraph"/>
              <w:ind w:left="54"/>
              <w:rPr>
                <w:rFonts w:ascii="Times New Roman" w:hAnsi="Times New Roman" w:cs="Times New Roman"/>
                <w:b/>
              </w:rPr>
            </w:pPr>
            <w:r>
              <w:rPr>
                <w:rFonts w:ascii="Times New Roman" w:hAnsi="Times New Roman" w:cs="Times New Roman"/>
                <w:b/>
              </w:rPr>
              <w:t>Lugar</w:t>
            </w:r>
            <w:r>
              <w:rPr>
                <w:rFonts w:ascii="Times New Roman" w:hAnsi="Times New Roman" w:cs="Times New Roman"/>
                <w:b/>
                <w:spacing w:val="-7"/>
              </w:rPr>
              <w:t xml:space="preserve"> </w:t>
            </w:r>
            <w:r>
              <w:rPr>
                <w:rFonts w:ascii="Times New Roman" w:hAnsi="Times New Roman" w:cs="Times New Roman"/>
                <w:b/>
              </w:rPr>
              <w:t>de</w:t>
            </w:r>
            <w:r>
              <w:rPr>
                <w:rFonts w:ascii="Times New Roman" w:hAnsi="Times New Roman" w:cs="Times New Roman"/>
                <w:b/>
                <w:spacing w:val="-4"/>
              </w:rPr>
              <w:t xml:space="preserve"> </w:t>
            </w:r>
            <w:r>
              <w:rPr>
                <w:rFonts w:ascii="Times New Roman" w:hAnsi="Times New Roman" w:cs="Times New Roman"/>
                <w:b/>
                <w:spacing w:val="-2"/>
              </w:rPr>
              <w:t>entrega:</w:t>
            </w:r>
          </w:p>
        </w:tc>
        <w:tc>
          <w:tcPr>
            <w:tcW w:w="6683" w:type="dxa"/>
          </w:tcPr>
          <w:p>
            <w:pPr>
              <w:pStyle w:val="TableParagraph"/>
              <w:ind w:left="27" w:right="47" w:firstLine="4"/>
              <w:jc w:val="both"/>
              <w:rPr>
                <w:rFonts w:ascii="Times New Roman" w:hAnsi="Times New Roman" w:cs="Times New Roman"/>
              </w:rPr>
            </w:pPr>
            <w:r>
              <w:rPr>
                <w:rFonts w:ascii="Times New Roman" w:hAnsi="Times New Roman" w:cs="Times New Roman"/>
              </w:rPr>
              <w:t>La capacitación de los miembros de la Unidad de Comunicación Social</w:t>
            </w:r>
            <w:r>
              <w:rPr>
                <w:rFonts w:ascii="Times New Roman" w:hAnsi="Times New Roman" w:cs="Times New Roman"/>
                <w:spacing w:val="-12"/>
              </w:rPr>
              <w:t xml:space="preserve"> </w:t>
            </w:r>
            <w:r>
              <w:rPr>
                <w:rFonts w:ascii="Times New Roman" w:hAnsi="Times New Roman" w:cs="Times New Roman"/>
              </w:rPr>
              <w:t>de</w:t>
            </w:r>
            <w:r>
              <w:rPr>
                <w:rFonts w:ascii="Times New Roman" w:hAnsi="Times New Roman" w:cs="Times New Roman"/>
                <w:spacing w:val="-12"/>
              </w:rPr>
              <w:t xml:space="preserve"> </w:t>
            </w:r>
            <w:r>
              <w:rPr>
                <w:rFonts w:ascii="Times New Roman" w:hAnsi="Times New Roman" w:cs="Times New Roman"/>
              </w:rPr>
              <w:t>la</w:t>
            </w:r>
            <w:r>
              <w:rPr>
                <w:rFonts w:ascii="Times New Roman" w:hAnsi="Times New Roman" w:cs="Times New Roman"/>
                <w:spacing w:val="-12"/>
              </w:rPr>
              <w:t xml:space="preserve"> </w:t>
            </w:r>
            <w:r>
              <w:rPr>
                <w:rFonts w:ascii="Times New Roman" w:hAnsi="Times New Roman" w:cs="Times New Roman"/>
              </w:rPr>
              <w:t>Procuraduría</w:t>
            </w:r>
            <w:r>
              <w:rPr>
                <w:rFonts w:ascii="Times New Roman" w:hAnsi="Times New Roman" w:cs="Times New Roman"/>
                <w:spacing w:val="-12"/>
              </w:rPr>
              <w:t xml:space="preserve"> </w:t>
            </w:r>
            <w:r>
              <w:rPr>
                <w:rFonts w:ascii="Times New Roman" w:hAnsi="Times New Roman" w:cs="Times New Roman"/>
              </w:rPr>
              <w:t>General</w:t>
            </w:r>
            <w:r>
              <w:rPr>
                <w:rFonts w:ascii="Times New Roman" w:hAnsi="Times New Roman" w:cs="Times New Roman"/>
                <w:spacing w:val="-12"/>
              </w:rPr>
              <w:t xml:space="preserve"> </w:t>
            </w:r>
            <w:r>
              <w:rPr>
                <w:rFonts w:ascii="Times New Roman" w:hAnsi="Times New Roman" w:cs="Times New Roman"/>
              </w:rPr>
              <w:t>del</w:t>
            </w:r>
            <w:r>
              <w:rPr>
                <w:rFonts w:ascii="Times New Roman" w:hAnsi="Times New Roman" w:cs="Times New Roman"/>
                <w:spacing w:val="-12"/>
              </w:rPr>
              <w:t xml:space="preserve"> </w:t>
            </w:r>
            <w:r>
              <w:rPr>
                <w:rFonts w:ascii="Times New Roman" w:hAnsi="Times New Roman" w:cs="Times New Roman"/>
              </w:rPr>
              <w:t>Estado</w:t>
            </w:r>
            <w:r>
              <w:rPr>
                <w:rFonts w:ascii="Times New Roman" w:hAnsi="Times New Roman" w:cs="Times New Roman"/>
                <w:spacing w:val="-12"/>
              </w:rPr>
              <w:t xml:space="preserve"> </w:t>
            </w:r>
            <w:r>
              <w:rPr>
                <w:rFonts w:ascii="Times New Roman" w:hAnsi="Times New Roman" w:cs="Times New Roman"/>
              </w:rPr>
              <w:t>se</w:t>
            </w:r>
            <w:r>
              <w:rPr>
                <w:rFonts w:ascii="Times New Roman" w:hAnsi="Times New Roman" w:cs="Times New Roman"/>
                <w:spacing w:val="-12"/>
              </w:rPr>
              <w:t xml:space="preserve"> </w:t>
            </w:r>
            <w:r>
              <w:rPr>
                <w:rFonts w:ascii="Times New Roman" w:hAnsi="Times New Roman" w:cs="Times New Roman"/>
              </w:rPr>
              <w:t>realizará</w:t>
            </w:r>
            <w:r>
              <w:rPr>
                <w:rFonts w:ascii="Times New Roman" w:hAnsi="Times New Roman" w:cs="Times New Roman"/>
                <w:spacing w:val="-12"/>
              </w:rPr>
              <w:t xml:space="preserve"> </w:t>
            </w:r>
            <w:r>
              <w:rPr>
                <w:rFonts w:ascii="Times New Roman" w:hAnsi="Times New Roman" w:cs="Times New Roman"/>
              </w:rPr>
              <w:t>de</w:t>
            </w:r>
            <w:r>
              <w:rPr>
                <w:rFonts w:ascii="Times New Roman" w:hAnsi="Times New Roman" w:cs="Times New Roman"/>
                <w:spacing w:val="-12"/>
              </w:rPr>
              <w:t xml:space="preserve"> </w:t>
            </w:r>
            <w:r>
              <w:rPr>
                <w:rFonts w:ascii="Times New Roman" w:hAnsi="Times New Roman" w:cs="Times New Roman"/>
              </w:rPr>
              <w:t>manera mixta (presencial y telemática) acorde al cronograma aprobado por el Administrador de Contrato. La capacitación presencial se realizará en la ciudad de Quito.</w:t>
            </w:r>
          </w:p>
        </w:tc>
      </w:tr>
    </w:tbl>
    <w:p>
      <w:pPr>
        <w:pStyle w:val="Ttulo1"/>
        <w:keepNext w:val="0"/>
        <w:widowControl w:val="0"/>
        <w:numPr>
          <w:ilvl w:val="0"/>
          <w:numId w:val="186"/>
        </w:numPr>
        <w:tabs>
          <w:tab w:val="clear" w:pos="1422"/>
          <w:tab w:val="left" w:pos="565"/>
        </w:tabs>
        <w:autoSpaceDE w:val="0"/>
        <w:autoSpaceDN w:val="0"/>
        <w:ind w:left="565" w:hanging="277"/>
        <w:rPr>
          <w:rFonts w:ascii="Times New Roman" w:hAnsi="Times New Roman" w:cs="Times New Roman"/>
          <w:sz w:val="22"/>
          <w:szCs w:val="22"/>
        </w:rPr>
      </w:pPr>
      <w:r>
        <w:rPr>
          <w:rFonts w:ascii="Times New Roman" w:hAnsi="Times New Roman" w:cs="Times New Roman"/>
          <w:spacing w:val="-2"/>
          <w:sz w:val="22"/>
          <w:szCs w:val="22"/>
        </w:rPr>
        <w:t>OBJETIVOS</w:t>
      </w:r>
    </w:p>
    <w:p>
      <w:pPr>
        <w:pStyle w:val="Textoindependiente"/>
        <w:rPr>
          <w:rFonts w:ascii="Times New Roman" w:hAnsi="Times New Roman" w:cs="Times New Roman"/>
          <w:b/>
          <w:sz w:val="22"/>
          <w:szCs w:val="22"/>
        </w:rPr>
      </w:pPr>
    </w:p>
    <w:p>
      <w:pPr>
        <w:ind w:left="288"/>
        <w:rPr>
          <w:b/>
          <w:sz w:val="22"/>
          <w:szCs w:val="22"/>
        </w:rPr>
      </w:pPr>
      <w:r>
        <w:rPr>
          <w:b/>
          <w:sz w:val="22"/>
          <w:szCs w:val="22"/>
          <w:u w:val="single"/>
        </w:rPr>
        <w:t>Objetivo</w:t>
      </w:r>
      <w:r>
        <w:rPr>
          <w:b/>
          <w:spacing w:val="-6"/>
          <w:sz w:val="22"/>
          <w:szCs w:val="22"/>
          <w:u w:val="single"/>
        </w:rPr>
        <w:t xml:space="preserve"> </w:t>
      </w:r>
      <w:r>
        <w:rPr>
          <w:b/>
          <w:spacing w:val="-2"/>
          <w:sz w:val="22"/>
          <w:szCs w:val="22"/>
          <w:u w:val="single"/>
        </w:rPr>
        <w:t>General</w:t>
      </w:r>
    </w:p>
    <w:p>
      <w:pPr>
        <w:pStyle w:val="Textoindependiente"/>
        <w:rPr>
          <w:rFonts w:ascii="Times New Roman" w:hAnsi="Times New Roman" w:cs="Times New Roman"/>
          <w:b/>
          <w:sz w:val="22"/>
          <w:szCs w:val="22"/>
        </w:rPr>
      </w:pPr>
    </w:p>
    <w:p>
      <w:pPr>
        <w:pStyle w:val="Textoindependiente"/>
        <w:ind w:left="283" w:right="15" w:firstLine="4"/>
        <w:jc w:val="both"/>
        <w:rPr>
          <w:rFonts w:ascii="Times New Roman" w:hAnsi="Times New Roman" w:cs="Times New Roman"/>
          <w:sz w:val="22"/>
          <w:szCs w:val="22"/>
        </w:rPr>
      </w:pPr>
      <w:r>
        <w:rPr>
          <w:rFonts w:ascii="Times New Roman" w:hAnsi="Times New Roman" w:cs="Times New Roman"/>
          <w:sz w:val="22"/>
          <w:szCs w:val="22"/>
        </w:rPr>
        <w:t>Fortalecer</w:t>
      </w:r>
      <w:r>
        <w:rPr>
          <w:rFonts w:ascii="Times New Roman" w:hAnsi="Times New Roman" w:cs="Times New Roman"/>
          <w:spacing w:val="-3"/>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z w:val="22"/>
          <w:szCs w:val="22"/>
        </w:rPr>
        <w:t>la</w:t>
      </w:r>
      <w:r>
        <w:rPr>
          <w:rFonts w:ascii="Times New Roman" w:hAnsi="Times New Roman" w:cs="Times New Roman"/>
          <w:spacing w:val="-7"/>
          <w:sz w:val="22"/>
          <w:szCs w:val="22"/>
        </w:rPr>
        <w:t xml:space="preserve"> </w:t>
      </w:r>
      <w:r>
        <w:rPr>
          <w:rFonts w:ascii="Times New Roman" w:hAnsi="Times New Roman" w:cs="Times New Roman"/>
          <w:sz w:val="22"/>
          <w:szCs w:val="22"/>
        </w:rPr>
        <w:t>Unidad</w:t>
      </w:r>
      <w:r>
        <w:rPr>
          <w:rFonts w:ascii="Times New Roman" w:hAnsi="Times New Roman" w:cs="Times New Roman"/>
          <w:spacing w:val="-5"/>
          <w:sz w:val="22"/>
          <w:szCs w:val="22"/>
        </w:rPr>
        <w:t xml:space="preserve"> </w:t>
      </w:r>
      <w:r>
        <w:rPr>
          <w:rFonts w:ascii="Times New Roman" w:hAnsi="Times New Roman" w:cs="Times New Roman"/>
          <w:sz w:val="22"/>
          <w:szCs w:val="22"/>
        </w:rPr>
        <w:t>de</w:t>
      </w:r>
      <w:r>
        <w:rPr>
          <w:rFonts w:ascii="Times New Roman" w:hAnsi="Times New Roman" w:cs="Times New Roman"/>
          <w:spacing w:val="-6"/>
          <w:sz w:val="22"/>
          <w:szCs w:val="22"/>
        </w:rPr>
        <w:t xml:space="preserve"> </w:t>
      </w:r>
      <w:r>
        <w:rPr>
          <w:rFonts w:ascii="Times New Roman" w:hAnsi="Times New Roman" w:cs="Times New Roman"/>
          <w:sz w:val="22"/>
          <w:szCs w:val="22"/>
        </w:rPr>
        <w:t>Comunicación</w:t>
      </w:r>
      <w:r>
        <w:rPr>
          <w:rFonts w:ascii="Times New Roman" w:hAnsi="Times New Roman" w:cs="Times New Roman"/>
          <w:spacing w:val="-3"/>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de</w:t>
      </w:r>
      <w:r>
        <w:rPr>
          <w:rFonts w:ascii="Times New Roman" w:hAnsi="Times New Roman" w:cs="Times New Roman"/>
          <w:spacing w:val="-4"/>
          <w:sz w:val="22"/>
          <w:szCs w:val="22"/>
        </w:rPr>
        <w:t xml:space="preserve"> </w:t>
      </w:r>
      <w:r>
        <w:rPr>
          <w:rFonts w:ascii="Times New Roman" w:hAnsi="Times New Roman" w:cs="Times New Roman"/>
          <w:sz w:val="22"/>
          <w:szCs w:val="22"/>
        </w:rPr>
        <w:t>la</w:t>
      </w:r>
      <w:r>
        <w:rPr>
          <w:rFonts w:ascii="Times New Roman" w:hAnsi="Times New Roman" w:cs="Times New Roman"/>
          <w:spacing w:val="-7"/>
          <w:sz w:val="22"/>
          <w:szCs w:val="22"/>
        </w:rPr>
        <w:t xml:space="preserve"> </w:t>
      </w:r>
      <w:r>
        <w:rPr>
          <w:rFonts w:ascii="Times New Roman" w:hAnsi="Times New Roman" w:cs="Times New Roman"/>
          <w:sz w:val="22"/>
          <w:szCs w:val="22"/>
        </w:rPr>
        <w:t>Procuraduría</w:t>
      </w:r>
      <w:r>
        <w:rPr>
          <w:rFonts w:ascii="Times New Roman" w:hAnsi="Times New Roman" w:cs="Times New Roman"/>
          <w:spacing w:val="-4"/>
          <w:sz w:val="22"/>
          <w:szCs w:val="22"/>
        </w:rPr>
        <w:t xml:space="preserve"> </w:t>
      </w:r>
      <w:r>
        <w:rPr>
          <w:rFonts w:ascii="Times New Roman" w:hAnsi="Times New Roman" w:cs="Times New Roman"/>
          <w:sz w:val="22"/>
          <w:szCs w:val="22"/>
        </w:rPr>
        <w:t>General</w:t>
      </w:r>
      <w:r>
        <w:rPr>
          <w:rFonts w:ascii="Times New Roman" w:hAnsi="Times New Roman" w:cs="Times New Roman"/>
          <w:spacing w:val="-7"/>
          <w:sz w:val="22"/>
          <w:szCs w:val="22"/>
        </w:rPr>
        <w:t xml:space="preserve"> </w:t>
      </w:r>
      <w:r>
        <w:rPr>
          <w:rFonts w:ascii="Times New Roman" w:hAnsi="Times New Roman" w:cs="Times New Roman"/>
          <w:sz w:val="22"/>
          <w:szCs w:val="22"/>
        </w:rPr>
        <w:t>del</w:t>
      </w:r>
      <w:r>
        <w:rPr>
          <w:rFonts w:ascii="Times New Roman" w:hAnsi="Times New Roman" w:cs="Times New Roman"/>
          <w:spacing w:val="-4"/>
          <w:sz w:val="22"/>
          <w:szCs w:val="22"/>
        </w:rPr>
        <w:t xml:space="preserve"> </w:t>
      </w:r>
      <w:r>
        <w:rPr>
          <w:rFonts w:ascii="Times New Roman" w:hAnsi="Times New Roman" w:cs="Times New Roman"/>
          <w:sz w:val="22"/>
          <w:szCs w:val="22"/>
        </w:rPr>
        <w:t>Estado</w:t>
      </w:r>
      <w:r>
        <w:rPr>
          <w:rFonts w:ascii="Times New Roman" w:hAnsi="Times New Roman" w:cs="Times New Roman"/>
          <w:spacing w:val="-4"/>
          <w:sz w:val="22"/>
          <w:szCs w:val="22"/>
        </w:rPr>
        <w:t xml:space="preserve"> </w:t>
      </w:r>
      <w:r>
        <w:rPr>
          <w:rFonts w:ascii="Times New Roman" w:hAnsi="Times New Roman" w:cs="Times New Roman"/>
          <w:sz w:val="22"/>
          <w:szCs w:val="22"/>
        </w:rPr>
        <w:t>a</w:t>
      </w:r>
      <w:r>
        <w:rPr>
          <w:rFonts w:ascii="Times New Roman" w:hAnsi="Times New Roman" w:cs="Times New Roman"/>
          <w:spacing w:val="-6"/>
          <w:sz w:val="22"/>
          <w:szCs w:val="22"/>
        </w:rPr>
        <w:t xml:space="preserve"> </w:t>
      </w:r>
      <w:r>
        <w:rPr>
          <w:rFonts w:ascii="Times New Roman" w:hAnsi="Times New Roman" w:cs="Times New Roman"/>
          <w:sz w:val="22"/>
          <w:szCs w:val="22"/>
        </w:rPr>
        <w:t>través</w:t>
      </w:r>
      <w:r>
        <w:rPr>
          <w:rFonts w:ascii="Times New Roman" w:hAnsi="Times New Roman" w:cs="Times New Roman"/>
          <w:spacing w:val="-5"/>
          <w:sz w:val="22"/>
          <w:szCs w:val="22"/>
        </w:rPr>
        <w:t xml:space="preserve"> </w:t>
      </w:r>
      <w:r>
        <w:rPr>
          <w:rFonts w:ascii="Times New Roman" w:hAnsi="Times New Roman" w:cs="Times New Roman"/>
          <w:sz w:val="22"/>
          <w:szCs w:val="22"/>
        </w:rPr>
        <w:t>de la capacitación en herramientas de Comunicación, con el fin de actualizar sus conocimientos sobre las nuevas tecnologías, nuevos contenidos, nuevas narrativas y nuevas audiencias, que garanticen</w:t>
      </w:r>
      <w:r>
        <w:rPr>
          <w:rFonts w:ascii="Times New Roman" w:hAnsi="Times New Roman" w:cs="Times New Roman"/>
          <w:spacing w:val="-8"/>
          <w:sz w:val="22"/>
          <w:szCs w:val="22"/>
        </w:rPr>
        <w:t xml:space="preserve"> </w:t>
      </w:r>
      <w:r>
        <w:rPr>
          <w:rFonts w:ascii="Times New Roman" w:hAnsi="Times New Roman" w:cs="Times New Roman"/>
          <w:sz w:val="22"/>
          <w:szCs w:val="22"/>
        </w:rPr>
        <w:t>el</w:t>
      </w:r>
      <w:r>
        <w:rPr>
          <w:rFonts w:ascii="Times New Roman" w:hAnsi="Times New Roman" w:cs="Times New Roman"/>
          <w:spacing w:val="-7"/>
          <w:sz w:val="22"/>
          <w:szCs w:val="22"/>
        </w:rPr>
        <w:t xml:space="preserve"> </w:t>
      </w:r>
      <w:r>
        <w:rPr>
          <w:rFonts w:ascii="Times New Roman" w:hAnsi="Times New Roman" w:cs="Times New Roman"/>
          <w:sz w:val="22"/>
          <w:szCs w:val="22"/>
        </w:rPr>
        <w:t>impacto</w:t>
      </w:r>
      <w:r>
        <w:rPr>
          <w:rFonts w:ascii="Times New Roman" w:hAnsi="Times New Roman" w:cs="Times New Roman"/>
          <w:spacing w:val="-9"/>
          <w:sz w:val="22"/>
          <w:szCs w:val="22"/>
        </w:rPr>
        <w:t xml:space="preserve"> </w:t>
      </w:r>
      <w:r>
        <w:rPr>
          <w:rFonts w:ascii="Times New Roman" w:hAnsi="Times New Roman" w:cs="Times New Roman"/>
          <w:sz w:val="22"/>
          <w:szCs w:val="22"/>
        </w:rPr>
        <w:t>y</w:t>
      </w:r>
      <w:r>
        <w:rPr>
          <w:rFonts w:ascii="Times New Roman" w:hAnsi="Times New Roman" w:cs="Times New Roman"/>
          <w:spacing w:val="-5"/>
          <w:sz w:val="22"/>
          <w:szCs w:val="22"/>
        </w:rPr>
        <w:t xml:space="preserve"> </w:t>
      </w:r>
      <w:r>
        <w:rPr>
          <w:rFonts w:ascii="Times New Roman" w:hAnsi="Times New Roman" w:cs="Times New Roman"/>
          <w:sz w:val="22"/>
          <w:szCs w:val="22"/>
        </w:rPr>
        <w:t>posicionamiento</w:t>
      </w:r>
      <w:r>
        <w:rPr>
          <w:rFonts w:ascii="Times New Roman" w:hAnsi="Times New Roman" w:cs="Times New Roman"/>
          <w:spacing w:val="-6"/>
          <w:sz w:val="22"/>
          <w:szCs w:val="22"/>
        </w:rPr>
        <w:t xml:space="preserve"> </w:t>
      </w:r>
      <w:r>
        <w:rPr>
          <w:rFonts w:ascii="Times New Roman" w:hAnsi="Times New Roman" w:cs="Times New Roman"/>
          <w:sz w:val="22"/>
          <w:szCs w:val="22"/>
        </w:rPr>
        <w:t>de</w:t>
      </w:r>
      <w:r>
        <w:rPr>
          <w:rFonts w:ascii="Times New Roman" w:hAnsi="Times New Roman" w:cs="Times New Roman"/>
          <w:spacing w:val="-6"/>
          <w:sz w:val="22"/>
          <w:szCs w:val="22"/>
        </w:rPr>
        <w:t xml:space="preserve"> </w:t>
      </w:r>
      <w:r>
        <w:rPr>
          <w:rFonts w:ascii="Times New Roman" w:hAnsi="Times New Roman" w:cs="Times New Roman"/>
          <w:sz w:val="22"/>
          <w:szCs w:val="22"/>
        </w:rPr>
        <w:t>la</w:t>
      </w:r>
      <w:r>
        <w:rPr>
          <w:rFonts w:ascii="Times New Roman" w:hAnsi="Times New Roman" w:cs="Times New Roman"/>
          <w:spacing w:val="-9"/>
          <w:sz w:val="22"/>
          <w:szCs w:val="22"/>
        </w:rPr>
        <w:t xml:space="preserve"> </w:t>
      </w:r>
      <w:r>
        <w:rPr>
          <w:rFonts w:ascii="Times New Roman" w:hAnsi="Times New Roman" w:cs="Times New Roman"/>
          <w:sz w:val="22"/>
          <w:szCs w:val="22"/>
        </w:rPr>
        <w:t>defensa</w:t>
      </w:r>
      <w:r>
        <w:rPr>
          <w:rFonts w:ascii="Times New Roman" w:hAnsi="Times New Roman" w:cs="Times New Roman"/>
          <w:spacing w:val="-6"/>
          <w:sz w:val="22"/>
          <w:szCs w:val="22"/>
        </w:rPr>
        <w:t xml:space="preserve"> </w:t>
      </w:r>
      <w:r>
        <w:rPr>
          <w:rFonts w:ascii="Times New Roman" w:hAnsi="Times New Roman" w:cs="Times New Roman"/>
          <w:sz w:val="22"/>
          <w:szCs w:val="22"/>
        </w:rPr>
        <w:t>jurídica</w:t>
      </w:r>
      <w:r>
        <w:rPr>
          <w:rFonts w:ascii="Times New Roman" w:hAnsi="Times New Roman" w:cs="Times New Roman"/>
          <w:spacing w:val="-6"/>
          <w:sz w:val="22"/>
          <w:szCs w:val="22"/>
        </w:rPr>
        <w:t xml:space="preserve"> </w:t>
      </w:r>
      <w:r>
        <w:rPr>
          <w:rFonts w:ascii="Times New Roman" w:hAnsi="Times New Roman" w:cs="Times New Roman"/>
          <w:sz w:val="22"/>
          <w:szCs w:val="22"/>
        </w:rPr>
        <w:t>del</w:t>
      </w:r>
      <w:r>
        <w:rPr>
          <w:rFonts w:ascii="Times New Roman" w:hAnsi="Times New Roman" w:cs="Times New Roman"/>
          <w:spacing w:val="-9"/>
          <w:sz w:val="22"/>
          <w:szCs w:val="22"/>
        </w:rPr>
        <w:t xml:space="preserve"> </w:t>
      </w:r>
      <w:r>
        <w:rPr>
          <w:rFonts w:ascii="Times New Roman" w:hAnsi="Times New Roman" w:cs="Times New Roman"/>
          <w:sz w:val="22"/>
          <w:szCs w:val="22"/>
        </w:rPr>
        <w:t>Estado</w:t>
      </w:r>
      <w:r>
        <w:rPr>
          <w:rFonts w:ascii="Times New Roman" w:hAnsi="Times New Roman" w:cs="Times New Roman"/>
          <w:spacing w:val="-7"/>
          <w:sz w:val="22"/>
          <w:szCs w:val="22"/>
        </w:rPr>
        <w:t xml:space="preserve"> </w:t>
      </w:r>
      <w:r>
        <w:rPr>
          <w:rFonts w:ascii="Times New Roman" w:hAnsi="Times New Roman" w:cs="Times New Roman"/>
          <w:sz w:val="22"/>
          <w:szCs w:val="22"/>
        </w:rPr>
        <w:t>con</w:t>
      </w:r>
      <w:r>
        <w:rPr>
          <w:rFonts w:ascii="Times New Roman" w:hAnsi="Times New Roman" w:cs="Times New Roman"/>
          <w:spacing w:val="-8"/>
          <w:sz w:val="22"/>
          <w:szCs w:val="22"/>
        </w:rPr>
        <w:t xml:space="preserve"> </w:t>
      </w:r>
      <w:r>
        <w:rPr>
          <w:rFonts w:ascii="Times New Roman" w:hAnsi="Times New Roman" w:cs="Times New Roman"/>
          <w:sz w:val="22"/>
          <w:szCs w:val="22"/>
        </w:rPr>
        <w:t>un</w:t>
      </w:r>
      <w:r>
        <w:rPr>
          <w:rFonts w:ascii="Times New Roman" w:hAnsi="Times New Roman" w:cs="Times New Roman"/>
          <w:spacing w:val="-6"/>
          <w:sz w:val="22"/>
          <w:szCs w:val="22"/>
        </w:rPr>
        <w:t xml:space="preserve"> </w:t>
      </w:r>
      <w:r>
        <w:rPr>
          <w:rFonts w:ascii="Times New Roman" w:hAnsi="Times New Roman" w:cs="Times New Roman"/>
          <w:sz w:val="22"/>
          <w:szCs w:val="22"/>
        </w:rPr>
        <w:t>Nuevo</w:t>
      </w:r>
      <w:r>
        <w:rPr>
          <w:rFonts w:ascii="Times New Roman" w:hAnsi="Times New Roman" w:cs="Times New Roman"/>
          <w:spacing w:val="-7"/>
          <w:sz w:val="22"/>
          <w:szCs w:val="22"/>
        </w:rPr>
        <w:t xml:space="preserve"> </w:t>
      </w:r>
      <w:r>
        <w:rPr>
          <w:rFonts w:ascii="Times New Roman" w:hAnsi="Times New Roman" w:cs="Times New Roman"/>
          <w:sz w:val="22"/>
          <w:szCs w:val="22"/>
        </w:rPr>
        <w:t>Modelo de Gestión implementado.</w:t>
      </w:r>
    </w:p>
    <w:p>
      <w:pPr>
        <w:pStyle w:val="Textoindependiente"/>
        <w:rPr>
          <w:rFonts w:ascii="Times New Roman" w:hAnsi="Times New Roman" w:cs="Times New Roman"/>
          <w:sz w:val="22"/>
          <w:szCs w:val="22"/>
        </w:rPr>
      </w:pPr>
    </w:p>
    <w:p>
      <w:pPr>
        <w:ind w:left="288"/>
        <w:jc w:val="both"/>
        <w:rPr>
          <w:b/>
          <w:sz w:val="22"/>
          <w:szCs w:val="22"/>
        </w:rPr>
      </w:pPr>
      <w:r>
        <w:rPr>
          <w:b/>
          <w:sz w:val="22"/>
          <w:szCs w:val="22"/>
          <w:u w:val="single"/>
        </w:rPr>
        <w:t>Objetivos</w:t>
      </w:r>
      <w:r>
        <w:rPr>
          <w:b/>
          <w:spacing w:val="-10"/>
          <w:sz w:val="22"/>
          <w:szCs w:val="22"/>
          <w:u w:val="single"/>
        </w:rPr>
        <w:t xml:space="preserve"> </w:t>
      </w:r>
      <w:r>
        <w:rPr>
          <w:b/>
          <w:spacing w:val="-2"/>
          <w:sz w:val="22"/>
          <w:szCs w:val="22"/>
          <w:u w:val="single"/>
        </w:rPr>
        <w:t>Específicos</w:t>
      </w:r>
    </w:p>
    <w:p>
      <w:pPr>
        <w:pStyle w:val="Textoindependiente"/>
        <w:rPr>
          <w:rFonts w:ascii="Times New Roman" w:hAnsi="Times New Roman" w:cs="Times New Roman"/>
          <w:b/>
          <w:sz w:val="22"/>
          <w:szCs w:val="22"/>
        </w:rPr>
      </w:pPr>
    </w:p>
    <w:p>
      <w:pPr>
        <w:pStyle w:val="Prrafodelista"/>
        <w:widowControl w:val="0"/>
        <w:numPr>
          <w:ilvl w:val="1"/>
          <w:numId w:val="186"/>
        </w:numPr>
        <w:tabs>
          <w:tab w:val="left" w:pos="1277"/>
        </w:tabs>
        <w:autoSpaceDE w:val="0"/>
        <w:autoSpaceDN w:val="0"/>
        <w:ind w:right="15"/>
        <w:contextualSpacing w:val="0"/>
        <w:jc w:val="both"/>
        <w:rPr>
          <w:sz w:val="22"/>
          <w:szCs w:val="22"/>
        </w:rPr>
      </w:pPr>
      <w:r>
        <w:rPr>
          <w:sz w:val="22"/>
          <w:szCs w:val="22"/>
        </w:rPr>
        <w:t>Actualizar los conocimientos de los miembros de la Unidad de Comunicación de la Procuraría</w:t>
      </w:r>
      <w:r>
        <w:rPr>
          <w:spacing w:val="-7"/>
          <w:sz w:val="22"/>
          <w:szCs w:val="22"/>
        </w:rPr>
        <w:t xml:space="preserve"> </w:t>
      </w:r>
      <w:r>
        <w:rPr>
          <w:sz w:val="22"/>
          <w:szCs w:val="22"/>
        </w:rPr>
        <w:t>General</w:t>
      </w:r>
      <w:r>
        <w:rPr>
          <w:spacing w:val="-7"/>
          <w:sz w:val="22"/>
          <w:szCs w:val="22"/>
        </w:rPr>
        <w:t xml:space="preserve"> </w:t>
      </w:r>
      <w:r>
        <w:rPr>
          <w:sz w:val="22"/>
          <w:szCs w:val="22"/>
        </w:rPr>
        <w:t>del</w:t>
      </w:r>
      <w:r>
        <w:rPr>
          <w:spacing w:val="-8"/>
          <w:sz w:val="22"/>
          <w:szCs w:val="22"/>
        </w:rPr>
        <w:t xml:space="preserve"> </w:t>
      </w:r>
      <w:r>
        <w:rPr>
          <w:sz w:val="22"/>
          <w:szCs w:val="22"/>
        </w:rPr>
        <w:t>Estado</w:t>
      </w:r>
      <w:r>
        <w:rPr>
          <w:spacing w:val="-5"/>
          <w:sz w:val="22"/>
          <w:szCs w:val="22"/>
        </w:rPr>
        <w:t xml:space="preserve"> </w:t>
      </w:r>
      <w:r>
        <w:rPr>
          <w:sz w:val="22"/>
          <w:szCs w:val="22"/>
        </w:rPr>
        <w:t>en</w:t>
      </w:r>
      <w:r>
        <w:rPr>
          <w:spacing w:val="-7"/>
          <w:sz w:val="22"/>
          <w:szCs w:val="22"/>
        </w:rPr>
        <w:t xml:space="preserve"> </w:t>
      </w:r>
      <w:r>
        <w:rPr>
          <w:sz w:val="22"/>
          <w:szCs w:val="22"/>
        </w:rPr>
        <w:t>herramientas</w:t>
      </w:r>
      <w:r>
        <w:rPr>
          <w:spacing w:val="-4"/>
          <w:sz w:val="22"/>
          <w:szCs w:val="22"/>
        </w:rPr>
        <w:t xml:space="preserve"> </w:t>
      </w:r>
      <w:r>
        <w:rPr>
          <w:sz w:val="22"/>
          <w:szCs w:val="22"/>
        </w:rPr>
        <w:t>de</w:t>
      </w:r>
      <w:r>
        <w:rPr>
          <w:spacing w:val="-7"/>
          <w:sz w:val="22"/>
          <w:szCs w:val="22"/>
        </w:rPr>
        <w:t xml:space="preserve"> </w:t>
      </w:r>
      <w:r>
        <w:rPr>
          <w:sz w:val="22"/>
          <w:szCs w:val="22"/>
        </w:rPr>
        <w:t>Comunicación</w:t>
      </w:r>
      <w:r>
        <w:rPr>
          <w:spacing w:val="-7"/>
          <w:sz w:val="22"/>
          <w:szCs w:val="22"/>
        </w:rPr>
        <w:t xml:space="preserve"> </w:t>
      </w:r>
      <w:r>
        <w:rPr>
          <w:sz w:val="22"/>
          <w:szCs w:val="22"/>
        </w:rPr>
        <w:t>para</w:t>
      </w:r>
      <w:r>
        <w:rPr>
          <w:spacing w:val="-7"/>
          <w:sz w:val="22"/>
          <w:szCs w:val="22"/>
        </w:rPr>
        <w:t xml:space="preserve"> </w:t>
      </w:r>
      <w:r>
        <w:rPr>
          <w:sz w:val="22"/>
          <w:szCs w:val="22"/>
        </w:rPr>
        <w:t>la</w:t>
      </w:r>
      <w:r>
        <w:rPr>
          <w:spacing w:val="-5"/>
          <w:sz w:val="22"/>
          <w:szCs w:val="22"/>
        </w:rPr>
        <w:t xml:space="preserve"> </w:t>
      </w:r>
      <w:r>
        <w:rPr>
          <w:sz w:val="22"/>
          <w:szCs w:val="22"/>
        </w:rPr>
        <w:t>socialización y</w:t>
      </w:r>
      <w:r>
        <w:rPr>
          <w:spacing w:val="-12"/>
          <w:sz w:val="22"/>
          <w:szCs w:val="22"/>
        </w:rPr>
        <w:t xml:space="preserve"> </w:t>
      </w:r>
      <w:r>
        <w:rPr>
          <w:sz w:val="22"/>
          <w:szCs w:val="22"/>
        </w:rPr>
        <w:t>posicionamiento</w:t>
      </w:r>
      <w:r>
        <w:rPr>
          <w:spacing w:val="-12"/>
          <w:sz w:val="22"/>
          <w:szCs w:val="22"/>
        </w:rPr>
        <w:t xml:space="preserve"> </w:t>
      </w:r>
      <w:r>
        <w:rPr>
          <w:sz w:val="22"/>
          <w:szCs w:val="22"/>
        </w:rPr>
        <w:t>de</w:t>
      </w:r>
      <w:r>
        <w:rPr>
          <w:spacing w:val="-12"/>
          <w:sz w:val="22"/>
          <w:szCs w:val="22"/>
        </w:rPr>
        <w:t xml:space="preserve"> </w:t>
      </w:r>
      <w:r>
        <w:rPr>
          <w:sz w:val="22"/>
          <w:szCs w:val="22"/>
        </w:rPr>
        <w:t>los</w:t>
      </w:r>
      <w:r>
        <w:rPr>
          <w:spacing w:val="-12"/>
          <w:sz w:val="22"/>
          <w:szCs w:val="22"/>
        </w:rPr>
        <w:t xml:space="preserve"> </w:t>
      </w:r>
      <w:r>
        <w:rPr>
          <w:sz w:val="22"/>
          <w:szCs w:val="22"/>
        </w:rPr>
        <w:t>logros</w:t>
      </w:r>
      <w:r>
        <w:rPr>
          <w:spacing w:val="-12"/>
          <w:sz w:val="22"/>
          <w:szCs w:val="22"/>
        </w:rPr>
        <w:t xml:space="preserve"> </w:t>
      </w:r>
      <w:r>
        <w:rPr>
          <w:sz w:val="22"/>
          <w:szCs w:val="22"/>
        </w:rPr>
        <w:t>alcanzados</w:t>
      </w:r>
      <w:r>
        <w:rPr>
          <w:spacing w:val="-12"/>
          <w:sz w:val="22"/>
          <w:szCs w:val="22"/>
        </w:rPr>
        <w:t xml:space="preserve"> </w:t>
      </w:r>
      <w:r>
        <w:rPr>
          <w:sz w:val="22"/>
          <w:szCs w:val="22"/>
        </w:rPr>
        <w:t>con</w:t>
      </w:r>
      <w:r>
        <w:rPr>
          <w:spacing w:val="-11"/>
          <w:sz w:val="22"/>
          <w:szCs w:val="22"/>
        </w:rPr>
        <w:t xml:space="preserve"> </w:t>
      </w:r>
      <w:r>
        <w:rPr>
          <w:sz w:val="22"/>
          <w:szCs w:val="22"/>
        </w:rPr>
        <w:t>la</w:t>
      </w:r>
      <w:r>
        <w:rPr>
          <w:spacing w:val="-12"/>
          <w:sz w:val="22"/>
          <w:szCs w:val="22"/>
        </w:rPr>
        <w:t xml:space="preserve"> </w:t>
      </w:r>
      <w:r>
        <w:rPr>
          <w:sz w:val="22"/>
          <w:szCs w:val="22"/>
        </w:rPr>
        <w:t>implementación</w:t>
      </w:r>
      <w:r>
        <w:rPr>
          <w:spacing w:val="-12"/>
          <w:sz w:val="22"/>
          <w:szCs w:val="22"/>
        </w:rPr>
        <w:t xml:space="preserve"> </w:t>
      </w:r>
      <w:r>
        <w:rPr>
          <w:sz w:val="22"/>
          <w:szCs w:val="22"/>
        </w:rPr>
        <w:t>del</w:t>
      </w:r>
      <w:r>
        <w:rPr>
          <w:spacing w:val="-11"/>
          <w:sz w:val="22"/>
          <w:szCs w:val="22"/>
        </w:rPr>
        <w:t xml:space="preserve"> </w:t>
      </w:r>
      <w:r>
        <w:rPr>
          <w:sz w:val="22"/>
          <w:szCs w:val="22"/>
        </w:rPr>
        <w:t>Nuevo</w:t>
      </w:r>
      <w:r>
        <w:rPr>
          <w:spacing w:val="-12"/>
          <w:sz w:val="22"/>
          <w:szCs w:val="22"/>
        </w:rPr>
        <w:t xml:space="preserve"> </w:t>
      </w:r>
      <w:r>
        <w:rPr>
          <w:sz w:val="22"/>
          <w:szCs w:val="22"/>
        </w:rPr>
        <w:t>Modelo de Gestión.</w:t>
      </w:r>
    </w:p>
    <w:p>
      <w:pPr>
        <w:pStyle w:val="Prrafodelista"/>
        <w:widowControl w:val="0"/>
        <w:numPr>
          <w:ilvl w:val="1"/>
          <w:numId w:val="186"/>
        </w:numPr>
        <w:tabs>
          <w:tab w:val="left" w:pos="1277"/>
        </w:tabs>
        <w:autoSpaceDE w:val="0"/>
        <w:autoSpaceDN w:val="0"/>
        <w:ind w:right="15"/>
        <w:contextualSpacing w:val="0"/>
        <w:jc w:val="both"/>
        <w:rPr>
          <w:sz w:val="22"/>
          <w:szCs w:val="22"/>
        </w:rPr>
      </w:pPr>
      <w:r>
        <w:rPr>
          <w:sz w:val="22"/>
          <w:szCs w:val="22"/>
        </w:rPr>
        <w:t>Capacitar al</w:t>
      </w:r>
      <w:r>
        <w:rPr>
          <w:spacing w:val="-2"/>
          <w:sz w:val="22"/>
          <w:szCs w:val="22"/>
        </w:rPr>
        <w:t xml:space="preserve"> </w:t>
      </w:r>
      <w:r>
        <w:rPr>
          <w:sz w:val="22"/>
          <w:szCs w:val="22"/>
        </w:rPr>
        <w:t>equipo</w:t>
      </w:r>
      <w:r>
        <w:rPr>
          <w:spacing w:val="-1"/>
          <w:sz w:val="22"/>
          <w:szCs w:val="22"/>
        </w:rPr>
        <w:t xml:space="preserve"> </w:t>
      </w:r>
      <w:r>
        <w:rPr>
          <w:sz w:val="22"/>
          <w:szCs w:val="22"/>
        </w:rPr>
        <w:t>de la</w:t>
      </w:r>
      <w:r>
        <w:rPr>
          <w:spacing w:val="-4"/>
          <w:sz w:val="22"/>
          <w:szCs w:val="22"/>
        </w:rPr>
        <w:t xml:space="preserve"> </w:t>
      </w:r>
      <w:r>
        <w:rPr>
          <w:sz w:val="22"/>
          <w:szCs w:val="22"/>
        </w:rPr>
        <w:t>Unidad</w:t>
      </w:r>
      <w:r>
        <w:rPr>
          <w:spacing w:val="-1"/>
          <w:sz w:val="22"/>
          <w:szCs w:val="22"/>
        </w:rPr>
        <w:t xml:space="preserve"> </w:t>
      </w:r>
      <w:r>
        <w:rPr>
          <w:sz w:val="22"/>
          <w:szCs w:val="22"/>
        </w:rPr>
        <w:t>de</w:t>
      </w:r>
      <w:r>
        <w:rPr>
          <w:spacing w:val="-1"/>
          <w:sz w:val="22"/>
          <w:szCs w:val="22"/>
        </w:rPr>
        <w:t xml:space="preserve"> </w:t>
      </w:r>
      <w:r>
        <w:rPr>
          <w:sz w:val="22"/>
          <w:szCs w:val="22"/>
        </w:rPr>
        <w:t>Comunicación</w:t>
      </w:r>
      <w:r>
        <w:rPr>
          <w:spacing w:val="-1"/>
          <w:sz w:val="22"/>
          <w:szCs w:val="22"/>
        </w:rPr>
        <w:t xml:space="preserve"> </w:t>
      </w:r>
      <w:r>
        <w:rPr>
          <w:sz w:val="22"/>
          <w:szCs w:val="22"/>
        </w:rPr>
        <w:t>Social en</w:t>
      </w:r>
      <w:r>
        <w:rPr>
          <w:spacing w:val="-1"/>
          <w:sz w:val="22"/>
          <w:szCs w:val="22"/>
        </w:rPr>
        <w:t xml:space="preserve"> </w:t>
      </w:r>
      <w:r>
        <w:rPr>
          <w:sz w:val="22"/>
          <w:szCs w:val="22"/>
        </w:rPr>
        <w:t>temas</w:t>
      </w:r>
      <w:r>
        <w:rPr>
          <w:spacing w:val="-1"/>
          <w:sz w:val="22"/>
          <w:szCs w:val="22"/>
        </w:rPr>
        <w:t xml:space="preserve"> </w:t>
      </w:r>
      <w:r>
        <w:rPr>
          <w:sz w:val="22"/>
          <w:szCs w:val="22"/>
        </w:rPr>
        <w:t>relacionados con: Comunicación Estratégica</w:t>
      </w:r>
      <w:r>
        <w:rPr>
          <w:spacing w:val="-1"/>
          <w:sz w:val="22"/>
          <w:szCs w:val="22"/>
        </w:rPr>
        <w:t xml:space="preserve"> </w:t>
      </w:r>
      <w:r>
        <w:rPr>
          <w:sz w:val="22"/>
          <w:szCs w:val="22"/>
        </w:rPr>
        <w:t>Digital, Inteligencia</w:t>
      </w:r>
      <w:r>
        <w:rPr>
          <w:spacing w:val="-2"/>
          <w:sz w:val="22"/>
          <w:szCs w:val="22"/>
        </w:rPr>
        <w:t xml:space="preserve"> </w:t>
      </w:r>
      <w:r>
        <w:rPr>
          <w:sz w:val="22"/>
          <w:szCs w:val="22"/>
        </w:rPr>
        <w:t>Artificial, Chat GPT, manejo</w:t>
      </w:r>
      <w:r>
        <w:rPr>
          <w:spacing w:val="-2"/>
          <w:sz w:val="22"/>
          <w:szCs w:val="22"/>
        </w:rPr>
        <w:t xml:space="preserve"> </w:t>
      </w:r>
      <w:r>
        <w:rPr>
          <w:sz w:val="22"/>
          <w:szCs w:val="22"/>
        </w:rPr>
        <w:t>de datos y análisis de</w:t>
      </w:r>
      <w:r>
        <w:rPr>
          <w:spacing w:val="-1"/>
          <w:sz w:val="22"/>
          <w:szCs w:val="22"/>
        </w:rPr>
        <w:t xml:space="preserve"> </w:t>
      </w:r>
      <w:r>
        <w:rPr>
          <w:sz w:val="22"/>
          <w:szCs w:val="22"/>
        </w:rPr>
        <w:t>Big Data, gestión de</w:t>
      </w:r>
      <w:r>
        <w:rPr>
          <w:spacing w:val="-1"/>
          <w:sz w:val="22"/>
          <w:szCs w:val="22"/>
        </w:rPr>
        <w:t xml:space="preserve"> </w:t>
      </w:r>
      <w:r>
        <w:rPr>
          <w:sz w:val="22"/>
          <w:szCs w:val="22"/>
        </w:rPr>
        <w:t>contenidos y nuevos medios, storytelling incluyendo inmersivo, Comunicación transmedia, diseño UX, entre otros.</w:t>
      </w:r>
    </w:p>
    <w:p>
      <w:pPr>
        <w:pStyle w:val="Textoindependiente"/>
        <w:rPr>
          <w:rFonts w:ascii="Times New Roman" w:hAnsi="Times New Roman" w:cs="Times New Roman"/>
          <w:sz w:val="22"/>
          <w:szCs w:val="22"/>
        </w:rPr>
      </w:pPr>
    </w:p>
    <w:p>
      <w:pPr>
        <w:pStyle w:val="Ttulo1"/>
        <w:keepNext w:val="0"/>
        <w:widowControl w:val="0"/>
        <w:numPr>
          <w:ilvl w:val="0"/>
          <w:numId w:val="186"/>
        </w:numPr>
        <w:tabs>
          <w:tab w:val="clear" w:pos="1422"/>
          <w:tab w:val="left" w:pos="565"/>
        </w:tabs>
        <w:autoSpaceDE w:val="0"/>
        <w:autoSpaceDN w:val="0"/>
        <w:ind w:left="565" w:hanging="277"/>
        <w:rPr>
          <w:rFonts w:ascii="Times New Roman" w:hAnsi="Times New Roman" w:cs="Times New Roman"/>
          <w:sz w:val="22"/>
          <w:szCs w:val="22"/>
        </w:rPr>
      </w:pPr>
      <w:r>
        <w:rPr>
          <w:rFonts w:ascii="Times New Roman" w:hAnsi="Times New Roman" w:cs="Times New Roman"/>
          <w:sz w:val="22"/>
          <w:szCs w:val="22"/>
        </w:rPr>
        <w:t>METODOLOGÍA</w:t>
      </w:r>
      <w:r>
        <w:rPr>
          <w:rFonts w:ascii="Times New Roman" w:hAnsi="Times New Roman" w:cs="Times New Roman"/>
          <w:spacing w:val="-11"/>
          <w:sz w:val="22"/>
          <w:szCs w:val="22"/>
        </w:rPr>
        <w:t xml:space="preserve"> </w:t>
      </w:r>
      <w:r>
        <w:rPr>
          <w:rFonts w:ascii="Times New Roman" w:hAnsi="Times New Roman" w:cs="Times New Roman"/>
          <w:sz w:val="22"/>
          <w:szCs w:val="22"/>
        </w:rPr>
        <w:t>DE</w:t>
      </w:r>
      <w:r>
        <w:rPr>
          <w:rFonts w:ascii="Times New Roman" w:hAnsi="Times New Roman" w:cs="Times New Roman"/>
          <w:spacing w:val="-10"/>
          <w:sz w:val="22"/>
          <w:szCs w:val="22"/>
        </w:rPr>
        <w:t xml:space="preserve"> </w:t>
      </w:r>
      <w:r>
        <w:rPr>
          <w:rFonts w:ascii="Times New Roman" w:hAnsi="Times New Roman" w:cs="Times New Roman"/>
          <w:spacing w:val="-2"/>
          <w:sz w:val="22"/>
          <w:szCs w:val="22"/>
        </w:rPr>
        <w:t>TRABAJO</w:t>
      </w:r>
    </w:p>
    <w:p>
      <w:pPr>
        <w:pStyle w:val="Textoindependiente"/>
        <w:ind w:left="283" w:right="283" w:firstLine="4"/>
        <w:jc w:val="both"/>
        <w:rPr>
          <w:rFonts w:ascii="Times New Roman" w:hAnsi="Times New Roman" w:cs="Times New Roman"/>
          <w:sz w:val="22"/>
          <w:szCs w:val="22"/>
        </w:rPr>
      </w:pPr>
    </w:p>
    <w:p>
      <w:pPr>
        <w:pStyle w:val="Textoindependiente"/>
        <w:ind w:left="283" w:right="15" w:firstLine="4"/>
        <w:jc w:val="both"/>
        <w:rPr>
          <w:rFonts w:ascii="Times New Roman" w:hAnsi="Times New Roman" w:cs="Times New Roman"/>
          <w:sz w:val="22"/>
          <w:szCs w:val="22"/>
        </w:rPr>
      </w:pPr>
      <w:r>
        <w:rPr>
          <w:rFonts w:ascii="Times New Roman" w:hAnsi="Times New Roman" w:cs="Times New Roman"/>
          <w:sz w:val="22"/>
          <w:szCs w:val="22"/>
        </w:rPr>
        <w:t>La</w:t>
      </w:r>
      <w:r>
        <w:rPr>
          <w:rFonts w:ascii="Times New Roman" w:hAnsi="Times New Roman" w:cs="Times New Roman"/>
          <w:spacing w:val="-12"/>
          <w:sz w:val="22"/>
          <w:szCs w:val="22"/>
        </w:rPr>
        <w:t xml:space="preserve"> </w:t>
      </w:r>
      <w:r>
        <w:rPr>
          <w:rFonts w:ascii="Times New Roman" w:hAnsi="Times New Roman" w:cs="Times New Roman"/>
          <w:sz w:val="22"/>
          <w:szCs w:val="22"/>
        </w:rPr>
        <w:t>metodología</w:t>
      </w:r>
      <w:r>
        <w:rPr>
          <w:rFonts w:ascii="Times New Roman" w:hAnsi="Times New Roman" w:cs="Times New Roman"/>
          <w:spacing w:val="-12"/>
          <w:sz w:val="22"/>
          <w:szCs w:val="22"/>
        </w:rPr>
        <w:t xml:space="preserve"> </w:t>
      </w:r>
      <w:r>
        <w:rPr>
          <w:rFonts w:ascii="Times New Roman" w:hAnsi="Times New Roman" w:cs="Times New Roman"/>
          <w:sz w:val="22"/>
          <w:szCs w:val="22"/>
        </w:rPr>
        <w:t>de</w:t>
      </w:r>
      <w:r>
        <w:rPr>
          <w:rFonts w:ascii="Times New Roman" w:hAnsi="Times New Roman" w:cs="Times New Roman"/>
          <w:spacing w:val="-12"/>
          <w:sz w:val="22"/>
          <w:szCs w:val="22"/>
        </w:rPr>
        <w:t xml:space="preserve"> </w:t>
      </w:r>
      <w:r>
        <w:rPr>
          <w:rFonts w:ascii="Times New Roman" w:hAnsi="Times New Roman" w:cs="Times New Roman"/>
          <w:sz w:val="22"/>
          <w:szCs w:val="22"/>
        </w:rPr>
        <w:t>trabajo</w:t>
      </w:r>
      <w:r>
        <w:rPr>
          <w:rFonts w:ascii="Times New Roman" w:hAnsi="Times New Roman" w:cs="Times New Roman"/>
          <w:spacing w:val="-12"/>
          <w:sz w:val="22"/>
          <w:szCs w:val="22"/>
        </w:rPr>
        <w:t xml:space="preserve"> </w:t>
      </w:r>
      <w:r>
        <w:rPr>
          <w:rFonts w:ascii="Times New Roman" w:hAnsi="Times New Roman" w:cs="Times New Roman"/>
          <w:sz w:val="22"/>
          <w:szCs w:val="22"/>
        </w:rPr>
        <w:t>del</w:t>
      </w:r>
      <w:r>
        <w:rPr>
          <w:rFonts w:ascii="Times New Roman" w:hAnsi="Times New Roman" w:cs="Times New Roman"/>
          <w:spacing w:val="-12"/>
          <w:sz w:val="22"/>
          <w:szCs w:val="22"/>
        </w:rPr>
        <w:t xml:space="preserve"> </w:t>
      </w:r>
      <w:r>
        <w:rPr>
          <w:rFonts w:ascii="Times New Roman" w:hAnsi="Times New Roman" w:cs="Times New Roman"/>
          <w:sz w:val="22"/>
          <w:szCs w:val="22"/>
        </w:rPr>
        <w:t>servicio</w:t>
      </w:r>
      <w:r>
        <w:rPr>
          <w:rFonts w:ascii="Times New Roman" w:hAnsi="Times New Roman" w:cs="Times New Roman"/>
          <w:spacing w:val="-12"/>
          <w:sz w:val="22"/>
          <w:szCs w:val="22"/>
        </w:rPr>
        <w:t xml:space="preserve"> </w:t>
      </w:r>
      <w:r>
        <w:rPr>
          <w:rFonts w:ascii="Times New Roman" w:hAnsi="Times New Roman" w:cs="Times New Roman"/>
          <w:sz w:val="22"/>
          <w:szCs w:val="22"/>
        </w:rPr>
        <w:t>de</w:t>
      </w:r>
      <w:r>
        <w:rPr>
          <w:rFonts w:ascii="Times New Roman" w:hAnsi="Times New Roman" w:cs="Times New Roman"/>
          <w:spacing w:val="-12"/>
          <w:sz w:val="22"/>
          <w:szCs w:val="22"/>
        </w:rPr>
        <w:t xml:space="preserve"> </w:t>
      </w:r>
      <w:r>
        <w:rPr>
          <w:rFonts w:ascii="Times New Roman" w:hAnsi="Times New Roman" w:cs="Times New Roman"/>
          <w:sz w:val="22"/>
          <w:szCs w:val="22"/>
        </w:rPr>
        <w:t>capacitación</w:t>
      </w:r>
      <w:r>
        <w:rPr>
          <w:rFonts w:ascii="Times New Roman" w:hAnsi="Times New Roman" w:cs="Times New Roman"/>
          <w:spacing w:val="-12"/>
          <w:sz w:val="22"/>
          <w:szCs w:val="22"/>
        </w:rPr>
        <w:t xml:space="preserve"> </w:t>
      </w:r>
      <w:r>
        <w:rPr>
          <w:rFonts w:ascii="Times New Roman" w:hAnsi="Times New Roman" w:cs="Times New Roman"/>
          <w:sz w:val="22"/>
          <w:szCs w:val="22"/>
        </w:rPr>
        <w:t>requerido</w:t>
      </w:r>
      <w:r>
        <w:rPr>
          <w:rFonts w:ascii="Times New Roman" w:hAnsi="Times New Roman" w:cs="Times New Roman"/>
          <w:spacing w:val="-12"/>
          <w:sz w:val="22"/>
          <w:szCs w:val="22"/>
        </w:rPr>
        <w:t xml:space="preserve"> </w:t>
      </w:r>
      <w:r>
        <w:rPr>
          <w:rFonts w:ascii="Times New Roman" w:hAnsi="Times New Roman" w:cs="Times New Roman"/>
          <w:sz w:val="22"/>
          <w:szCs w:val="22"/>
        </w:rPr>
        <w:t>por</w:t>
      </w:r>
      <w:r>
        <w:rPr>
          <w:rFonts w:ascii="Times New Roman" w:hAnsi="Times New Roman" w:cs="Times New Roman"/>
          <w:spacing w:val="-12"/>
          <w:sz w:val="22"/>
          <w:szCs w:val="22"/>
        </w:rPr>
        <w:t xml:space="preserve"> </w:t>
      </w:r>
      <w:r>
        <w:rPr>
          <w:rFonts w:ascii="Times New Roman" w:hAnsi="Times New Roman" w:cs="Times New Roman"/>
          <w:sz w:val="22"/>
          <w:szCs w:val="22"/>
        </w:rPr>
        <w:t>la</w:t>
      </w:r>
      <w:r>
        <w:rPr>
          <w:rFonts w:ascii="Times New Roman" w:hAnsi="Times New Roman" w:cs="Times New Roman"/>
          <w:spacing w:val="-12"/>
          <w:sz w:val="22"/>
          <w:szCs w:val="22"/>
        </w:rPr>
        <w:t xml:space="preserve"> </w:t>
      </w:r>
      <w:r>
        <w:rPr>
          <w:rFonts w:ascii="Times New Roman" w:hAnsi="Times New Roman" w:cs="Times New Roman"/>
          <w:sz w:val="22"/>
          <w:szCs w:val="22"/>
        </w:rPr>
        <w:t>Procuraduría</w:t>
      </w:r>
      <w:r>
        <w:rPr>
          <w:rFonts w:ascii="Times New Roman" w:hAnsi="Times New Roman" w:cs="Times New Roman"/>
          <w:spacing w:val="-11"/>
          <w:sz w:val="22"/>
          <w:szCs w:val="22"/>
        </w:rPr>
        <w:t xml:space="preserve"> </w:t>
      </w:r>
      <w:r>
        <w:rPr>
          <w:rFonts w:ascii="Times New Roman" w:hAnsi="Times New Roman" w:cs="Times New Roman"/>
          <w:sz w:val="22"/>
          <w:szCs w:val="22"/>
        </w:rPr>
        <w:t>General</w:t>
      </w:r>
      <w:r>
        <w:rPr>
          <w:rFonts w:ascii="Times New Roman" w:hAnsi="Times New Roman" w:cs="Times New Roman"/>
          <w:spacing w:val="-2"/>
          <w:sz w:val="22"/>
          <w:szCs w:val="22"/>
        </w:rPr>
        <w:t xml:space="preserve"> </w:t>
      </w:r>
      <w:r>
        <w:rPr>
          <w:rFonts w:ascii="Times New Roman" w:hAnsi="Times New Roman" w:cs="Times New Roman"/>
          <w:sz w:val="22"/>
          <w:szCs w:val="22"/>
        </w:rPr>
        <w:t>del Estado será el siguiente:</w:t>
      </w:r>
    </w:p>
    <w:p>
      <w:pPr>
        <w:pStyle w:val="Textoindependiente"/>
        <w:rPr>
          <w:rFonts w:ascii="Times New Roman" w:hAnsi="Times New Roman" w:cs="Times New Roman"/>
          <w:sz w:val="22"/>
          <w:szCs w:val="22"/>
        </w:rPr>
      </w:pPr>
    </w:p>
    <w:p>
      <w:pPr>
        <w:pStyle w:val="Prrafodelista"/>
        <w:widowControl w:val="0"/>
        <w:numPr>
          <w:ilvl w:val="1"/>
          <w:numId w:val="186"/>
        </w:numPr>
        <w:tabs>
          <w:tab w:val="left" w:pos="1277"/>
        </w:tabs>
        <w:autoSpaceDE w:val="0"/>
        <w:autoSpaceDN w:val="0"/>
        <w:ind w:right="15" w:hanging="286"/>
        <w:contextualSpacing w:val="0"/>
        <w:jc w:val="both"/>
        <w:rPr>
          <w:sz w:val="22"/>
          <w:szCs w:val="22"/>
        </w:rPr>
      </w:pPr>
      <w:r>
        <w:rPr>
          <w:sz w:val="22"/>
          <w:szCs w:val="22"/>
        </w:rPr>
        <w:t>El</w:t>
      </w:r>
      <w:r>
        <w:rPr>
          <w:spacing w:val="-9"/>
          <w:sz w:val="22"/>
          <w:szCs w:val="22"/>
        </w:rPr>
        <w:t xml:space="preserve"> </w:t>
      </w:r>
      <w:r>
        <w:rPr>
          <w:sz w:val="22"/>
          <w:szCs w:val="22"/>
        </w:rPr>
        <w:t>Contratista</w:t>
      </w:r>
      <w:r>
        <w:rPr>
          <w:spacing w:val="-10"/>
          <w:sz w:val="22"/>
          <w:szCs w:val="22"/>
        </w:rPr>
        <w:t xml:space="preserve"> </w:t>
      </w:r>
      <w:r>
        <w:rPr>
          <w:sz w:val="22"/>
          <w:szCs w:val="22"/>
        </w:rPr>
        <w:t>presentará</w:t>
      </w:r>
      <w:r>
        <w:rPr>
          <w:spacing w:val="-10"/>
          <w:sz w:val="22"/>
          <w:szCs w:val="22"/>
        </w:rPr>
        <w:t xml:space="preserve"> </w:t>
      </w:r>
      <w:r>
        <w:rPr>
          <w:sz w:val="22"/>
          <w:szCs w:val="22"/>
        </w:rPr>
        <w:t>el</w:t>
      </w:r>
      <w:r>
        <w:rPr>
          <w:spacing w:val="-10"/>
          <w:sz w:val="22"/>
          <w:szCs w:val="22"/>
        </w:rPr>
        <w:t xml:space="preserve"> </w:t>
      </w:r>
      <w:r>
        <w:rPr>
          <w:sz w:val="22"/>
          <w:szCs w:val="22"/>
        </w:rPr>
        <w:t>Cronograma</w:t>
      </w:r>
      <w:r>
        <w:rPr>
          <w:spacing w:val="-11"/>
          <w:sz w:val="22"/>
          <w:szCs w:val="22"/>
        </w:rPr>
        <w:t xml:space="preserve"> </w:t>
      </w:r>
      <w:r>
        <w:rPr>
          <w:sz w:val="22"/>
          <w:szCs w:val="22"/>
        </w:rPr>
        <w:t>de</w:t>
      </w:r>
      <w:r>
        <w:rPr>
          <w:spacing w:val="-10"/>
          <w:sz w:val="22"/>
          <w:szCs w:val="22"/>
        </w:rPr>
        <w:t xml:space="preserve"> </w:t>
      </w:r>
      <w:r>
        <w:rPr>
          <w:sz w:val="22"/>
          <w:szCs w:val="22"/>
        </w:rPr>
        <w:t>Trabajo,</w:t>
      </w:r>
      <w:r>
        <w:rPr>
          <w:spacing w:val="-11"/>
          <w:sz w:val="22"/>
          <w:szCs w:val="22"/>
        </w:rPr>
        <w:t xml:space="preserve"> </w:t>
      </w:r>
      <w:r>
        <w:rPr>
          <w:sz w:val="22"/>
          <w:szCs w:val="22"/>
        </w:rPr>
        <w:t>Metodología</w:t>
      </w:r>
      <w:r>
        <w:rPr>
          <w:spacing w:val="-11"/>
          <w:sz w:val="22"/>
          <w:szCs w:val="22"/>
        </w:rPr>
        <w:t xml:space="preserve"> </w:t>
      </w:r>
      <w:r>
        <w:rPr>
          <w:sz w:val="22"/>
          <w:szCs w:val="22"/>
        </w:rPr>
        <w:t>de</w:t>
      </w:r>
      <w:r>
        <w:rPr>
          <w:spacing w:val="-10"/>
          <w:sz w:val="22"/>
          <w:szCs w:val="22"/>
        </w:rPr>
        <w:t xml:space="preserve"> </w:t>
      </w:r>
      <w:r>
        <w:rPr>
          <w:sz w:val="22"/>
          <w:szCs w:val="22"/>
        </w:rPr>
        <w:t>Trabajo</w:t>
      </w:r>
      <w:r>
        <w:rPr>
          <w:spacing w:val="-11"/>
          <w:sz w:val="22"/>
          <w:szCs w:val="22"/>
        </w:rPr>
        <w:t xml:space="preserve"> </w:t>
      </w:r>
      <w:r>
        <w:rPr>
          <w:sz w:val="22"/>
          <w:szCs w:val="22"/>
        </w:rPr>
        <w:t>y</w:t>
      </w:r>
      <w:r>
        <w:rPr>
          <w:spacing w:val="-11"/>
          <w:sz w:val="22"/>
          <w:szCs w:val="22"/>
        </w:rPr>
        <w:t xml:space="preserve"> </w:t>
      </w:r>
      <w:r>
        <w:rPr>
          <w:sz w:val="22"/>
          <w:szCs w:val="22"/>
        </w:rPr>
        <w:t>el</w:t>
      </w:r>
      <w:r>
        <w:rPr>
          <w:spacing w:val="-10"/>
          <w:sz w:val="22"/>
          <w:szCs w:val="22"/>
        </w:rPr>
        <w:t xml:space="preserve"> </w:t>
      </w:r>
      <w:r>
        <w:rPr>
          <w:sz w:val="22"/>
          <w:szCs w:val="22"/>
        </w:rPr>
        <w:t xml:space="preserve">Plan de Contenidos, documentos que contarán con la aprobación del Administrador del </w:t>
      </w:r>
      <w:r>
        <w:rPr>
          <w:spacing w:val="-2"/>
          <w:sz w:val="22"/>
          <w:szCs w:val="22"/>
        </w:rPr>
        <w:t>Contrato.</w:t>
      </w:r>
    </w:p>
    <w:p>
      <w:pPr>
        <w:pStyle w:val="Prrafodelista"/>
        <w:widowControl w:val="0"/>
        <w:numPr>
          <w:ilvl w:val="1"/>
          <w:numId w:val="186"/>
        </w:numPr>
        <w:tabs>
          <w:tab w:val="left" w:pos="1277"/>
        </w:tabs>
        <w:autoSpaceDE w:val="0"/>
        <w:autoSpaceDN w:val="0"/>
        <w:ind w:right="15" w:hanging="286"/>
        <w:contextualSpacing w:val="0"/>
        <w:jc w:val="both"/>
        <w:rPr>
          <w:sz w:val="22"/>
          <w:szCs w:val="22"/>
        </w:rPr>
      </w:pPr>
      <w:r>
        <w:rPr>
          <w:sz w:val="22"/>
          <w:szCs w:val="22"/>
        </w:rPr>
        <w:lastRenderedPageBreak/>
        <w:t>El Contratista dotará el acceso a una plataforma virtual para la ejecución de los talleres bajo esa modalidad.</w:t>
      </w:r>
    </w:p>
    <w:p>
      <w:pPr>
        <w:pStyle w:val="Prrafodelista"/>
        <w:widowControl w:val="0"/>
        <w:numPr>
          <w:ilvl w:val="1"/>
          <w:numId w:val="186"/>
        </w:numPr>
        <w:tabs>
          <w:tab w:val="left" w:pos="1277"/>
        </w:tabs>
        <w:autoSpaceDE w:val="0"/>
        <w:autoSpaceDN w:val="0"/>
        <w:ind w:right="15" w:hanging="286"/>
        <w:contextualSpacing w:val="0"/>
        <w:jc w:val="both"/>
        <w:rPr>
          <w:sz w:val="22"/>
          <w:szCs w:val="22"/>
        </w:rPr>
      </w:pPr>
      <w:r>
        <w:rPr>
          <w:sz w:val="22"/>
          <w:szCs w:val="22"/>
        </w:rPr>
        <w:t>Todo el material de refuerzo, así como las clases grabadas serán subidas a la plataforma dotada por el Contratista para que los participantes puedan acceder en cualquier momento.</w:t>
      </w:r>
    </w:p>
    <w:p>
      <w:pPr>
        <w:pStyle w:val="Prrafodelista"/>
        <w:widowControl w:val="0"/>
        <w:numPr>
          <w:ilvl w:val="1"/>
          <w:numId w:val="186"/>
        </w:numPr>
        <w:tabs>
          <w:tab w:val="left" w:pos="1277"/>
        </w:tabs>
        <w:autoSpaceDE w:val="0"/>
        <w:autoSpaceDN w:val="0"/>
        <w:ind w:right="15" w:hanging="286"/>
        <w:contextualSpacing w:val="0"/>
        <w:jc w:val="both"/>
        <w:rPr>
          <w:sz w:val="22"/>
          <w:szCs w:val="22"/>
        </w:rPr>
      </w:pPr>
      <w:r>
        <w:rPr>
          <w:sz w:val="22"/>
          <w:szCs w:val="22"/>
        </w:rPr>
        <w:t>El</w:t>
      </w:r>
      <w:r>
        <w:rPr>
          <w:spacing w:val="-5"/>
          <w:sz w:val="22"/>
          <w:szCs w:val="22"/>
        </w:rPr>
        <w:t xml:space="preserve"> </w:t>
      </w:r>
      <w:r>
        <w:rPr>
          <w:sz w:val="22"/>
          <w:szCs w:val="22"/>
        </w:rPr>
        <w:t>Contratista</w:t>
      </w:r>
      <w:r>
        <w:rPr>
          <w:spacing w:val="-6"/>
          <w:sz w:val="22"/>
          <w:szCs w:val="22"/>
        </w:rPr>
        <w:t xml:space="preserve"> </w:t>
      </w:r>
      <w:r>
        <w:rPr>
          <w:sz w:val="22"/>
          <w:szCs w:val="22"/>
        </w:rPr>
        <w:t>dotará</w:t>
      </w:r>
      <w:r>
        <w:rPr>
          <w:spacing w:val="-4"/>
          <w:sz w:val="22"/>
          <w:szCs w:val="22"/>
        </w:rPr>
        <w:t xml:space="preserve"> </w:t>
      </w:r>
      <w:r>
        <w:rPr>
          <w:sz w:val="22"/>
          <w:szCs w:val="22"/>
        </w:rPr>
        <w:t>de</w:t>
      </w:r>
      <w:r>
        <w:rPr>
          <w:spacing w:val="-5"/>
          <w:sz w:val="22"/>
          <w:szCs w:val="22"/>
        </w:rPr>
        <w:t xml:space="preserve"> </w:t>
      </w:r>
      <w:r>
        <w:rPr>
          <w:sz w:val="22"/>
          <w:szCs w:val="22"/>
        </w:rPr>
        <w:t>todos</w:t>
      </w:r>
      <w:r>
        <w:rPr>
          <w:spacing w:val="-2"/>
          <w:sz w:val="22"/>
          <w:szCs w:val="22"/>
        </w:rPr>
        <w:t xml:space="preserve"> </w:t>
      </w:r>
      <w:r>
        <w:rPr>
          <w:sz w:val="22"/>
          <w:szCs w:val="22"/>
        </w:rPr>
        <w:t>los</w:t>
      </w:r>
      <w:r>
        <w:rPr>
          <w:spacing w:val="-4"/>
          <w:sz w:val="22"/>
          <w:szCs w:val="22"/>
        </w:rPr>
        <w:t xml:space="preserve"> </w:t>
      </w:r>
      <w:r>
        <w:rPr>
          <w:sz w:val="22"/>
          <w:szCs w:val="22"/>
        </w:rPr>
        <w:t>materiales</w:t>
      </w:r>
      <w:r>
        <w:rPr>
          <w:spacing w:val="-3"/>
          <w:sz w:val="22"/>
          <w:szCs w:val="22"/>
        </w:rPr>
        <w:t xml:space="preserve"> </w:t>
      </w:r>
      <w:r>
        <w:rPr>
          <w:sz w:val="22"/>
          <w:szCs w:val="22"/>
        </w:rPr>
        <w:t>de</w:t>
      </w:r>
      <w:r>
        <w:rPr>
          <w:spacing w:val="-5"/>
          <w:sz w:val="22"/>
          <w:szCs w:val="22"/>
        </w:rPr>
        <w:t xml:space="preserve"> </w:t>
      </w:r>
      <w:r>
        <w:rPr>
          <w:sz w:val="22"/>
          <w:szCs w:val="22"/>
        </w:rPr>
        <w:t>trabajo</w:t>
      </w:r>
      <w:r>
        <w:rPr>
          <w:spacing w:val="-9"/>
          <w:sz w:val="22"/>
          <w:szCs w:val="22"/>
        </w:rPr>
        <w:t xml:space="preserve"> </w:t>
      </w:r>
      <w:r>
        <w:rPr>
          <w:sz w:val="22"/>
          <w:szCs w:val="22"/>
        </w:rPr>
        <w:t>pertinentes</w:t>
      </w:r>
      <w:r>
        <w:rPr>
          <w:spacing w:val="-3"/>
          <w:sz w:val="22"/>
          <w:szCs w:val="22"/>
        </w:rPr>
        <w:t xml:space="preserve"> </w:t>
      </w:r>
      <w:r>
        <w:rPr>
          <w:sz w:val="22"/>
          <w:szCs w:val="22"/>
        </w:rPr>
        <w:t>para</w:t>
      </w:r>
      <w:r>
        <w:rPr>
          <w:spacing w:val="-5"/>
          <w:sz w:val="22"/>
          <w:szCs w:val="22"/>
        </w:rPr>
        <w:t xml:space="preserve"> </w:t>
      </w:r>
      <w:r>
        <w:rPr>
          <w:sz w:val="22"/>
          <w:szCs w:val="22"/>
        </w:rPr>
        <w:t>la</w:t>
      </w:r>
      <w:r>
        <w:rPr>
          <w:spacing w:val="-5"/>
          <w:sz w:val="22"/>
          <w:szCs w:val="22"/>
        </w:rPr>
        <w:t xml:space="preserve"> </w:t>
      </w:r>
      <w:r>
        <w:rPr>
          <w:sz w:val="22"/>
          <w:szCs w:val="22"/>
        </w:rPr>
        <w:t>ejecución de</w:t>
      </w:r>
      <w:r>
        <w:rPr>
          <w:spacing w:val="-9"/>
          <w:sz w:val="22"/>
          <w:szCs w:val="22"/>
        </w:rPr>
        <w:t xml:space="preserve"> </w:t>
      </w:r>
      <w:r>
        <w:rPr>
          <w:sz w:val="22"/>
          <w:szCs w:val="22"/>
        </w:rPr>
        <w:t>los</w:t>
      </w:r>
      <w:r>
        <w:rPr>
          <w:spacing w:val="-7"/>
          <w:sz w:val="22"/>
          <w:szCs w:val="22"/>
        </w:rPr>
        <w:t xml:space="preserve"> </w:t>
      </w:r>
      <w:r>
        <w:rPr>
          <w:sz w:val="22"/>
          <w:szCs w:val="22"/>
        </w:rPr>
        <w:t>talleres</w:t>
      </w:r>
      <w:r>
        <w:rPr>
          <w:spacing w:val="-4"/>
          <w:sz w:val="22"/>
          <w:szCs w:val="22"/>
        </w:rPr>
        <w:t xml:space="preserve"> </w:t>
      </w:r>
      <w:r>
        <w:rPr>
          <w:sz w:val="22"/>
          <w:szCs w:val="22"/>
        </w:rPr>
        <w:t>presenciales</w:t>
      </w:r>
      <w:r>
        <w:rPr>
          <w:spacing w:val="-6"/>
          <w:sz w:val="22"/>
          <w:szCs w:val="22"/>
        </w:rPr>
        <w:t xml:space="preserve"> </w:t>
      </w:r>
      <w:r>
        <w:rPr>
          <w:sz w:val="22"/>
          <w:szCs w:val="22"/>
        </w:rPr>
        <w:t>(cuaderno,</w:t>
      </w:r>
      <w:r>
        <w:rPr>
          <w:spacing w:val="-8"/>
          <w:sz w:val="22"/>
          <w:szCs w:val="22"/>
        </w:rPr>
        <w:t xml:space="preserve"> </w:t>
      </w:r>
      <w:r>
        <w:rPr>
          <w:sz w:val="22"/>
          <w:szCs w:val="22"/>
        </w:rPr>
        <w:t>material</w:t>
      </w:r>
      <w:r>
        <w:rPr>
          <w:spacing w:val="-10"/>
          <w:sz w:val="22"/>
          <w:szCs w:val="22"/>
        </w:rPr>
        <w:t xml:space="preserve"> </w:t>
      </w:r>
      <w:r>
        <w:rPr>
          <w:sz w:val="22"/>
          <w:szCs w:val="22"/>
        </w:rPr>
        <w:t>impreso</w:t>
      </w:r>
      <w:r>
        <w:rPr>
          <w:spacing w:val="-9"/>
          <w:sz w:val="22"/>
          <w:szCs w:val="22"/>
        </w:rPr>
        <w:t xml:space="preserve"> </w:t>
      </w:r>
      <w:r>
        <w:rPr>
          <w:sz w:val="22"/>
          <w:szCs w:val="22"/>
        </w:rPr>
        <w:t>didáctico,</w:t>
      </w:r>
      <w:r>
        <w:rPr>
          <w:spacing w:val="-7"/>
          <w:sz w:val="22"/>
          <w:szCs w:val="22"/>
        </w:rPr>
        <w:t xml:space="preserve"> </w:t>
      </w:r>
      <w:r>
        <w:rPr>
          <w:sz w:val="22"/>
          <w:szCs w:val="22"/>
        </w:rPr>
        <w:t>esfero,</w:t>
      </w:r>
      <w:r>
        <w:rPr>
          <w:spacing w:val="-10"/>
          <w:sz w:val="22"/>
          <w:szCs w:val="22"/>
        </w:rPr>
        <w:t xml:space="preserve"> </w:t>
      </w:r>
      <w:r>
        <w:rPr>
          <w:sz w:val="22"/>
          <w:szCs w:val="22"/>
        </w:rPr>
        <w:t>certificado y/o demás implementos necesarios).</w:t>
      </w:r>
    </w:p>
    <w:p>
      <w:pPr>
        <w:pStyle w:val="Prrafodelista"/>
        <w:widowControl w:val="0"/>
        <w:numPr>
          <w:ilvl w:val="1"/>
          <w:numId w:val="186"/>
        </w:numPr>
        <w:tabs>
          <w:tab w:val="left" w:pos="1277"/>
        </w:tabs>
        <w:autoSpaceDE w:val="0"/>
        <w:autoSpaceDN w:val="0"/>
        <w:ind w:right="15" w:hanging="286"/>
        <w:contextualSpacing w:val="0"/>
        <w:jc w:val="both"/>
        <w:rPr>
          <w:sz w:val="22"/>
          <w:szCs w:val="22"/>
        </w:rPr>
      </w:pPr>
      <w:r>
        <w:rPr>
          <w:sz w:val="22"/>
          <w:szCs w:val="22"/>
        </w:rPr>
        <w:t>Correrán por cuenta del Contratista los costos correspondientes a los almuerzos y refrigerios</w:t>
      </w:r>
      <w:r>
        <w:rPr>
          <w:spacing w:val="-11"/>
          <w:sz w:val="22"/>
          <w:szCs w:val="22"/>
        </w:rPr>
        <w:t xml:space="preserve"> </w:t>
      </w:r>
      <w:r>
        <w:rPr>
          <w:sz w:val="22"/>
          <w:szCs w:val="22"/>
        </w:rPr>
        <w:t>en</w:t>
      </w:r>
      <w:r>
        <w:rPr>
          <w:spacing w:val="-12"/>
          <w:sz w:val="22"/>
          <w:szCs w:val="22"/>
        </w:rPr>
        <w:t xml:space="preserve"> </w:t>
      </w:r>
      <w:r>
        <w:rPr>
          <w:sz w:val="22"/>
          <w:szCs w:val="22"/>
        </w:rPr>
        <w:t>las</w:t>
      </w:r>
      <w:r>
        <w:rPr>
          <w:spacing w:val="-11"/>
          <w:sz w:val="22"/>
          <w:szCs w:val="22"/>
        </w:rPr>
        <w:t xml:space="preserve"> </w:t>
      </w:r>
      <w:r>
        <w:rPr>
          <w:sz w:val="22"/>
          <w:szCs w:val="22"/>
        </w:rPr>
        <w:t>jornadas</w:t>
      </w:r>
      <w:r>
        <w:rPr>
          <w:spacing w:val="-11"/>
          <w:sz w:val="22"/>
          <w:szCs w:val="22"/>
        </w:rPr>
        <w:t xml:space="preserve"> </w:t>
      </w:r>
      <w:r>
        <w:rPr>
          <w:sz w:val="22"/>
          <w:szCs w:val="22"/>
        </w:rPr>
        <w:t>presenciales</w:t>
      </w:r>
      <w:r>
        <w:rPr>
          <w:spacing w:val="-6"/>
          <w:sz w:val="22"/>
          <w:szCs w:val="22"/>
        </w:rPr>
        <w:t xml:space="preserve"> </w:t>
      </w:r>
      <w:r>
        <w:rPr>
          <w:sz w:val="22"/>
          <w:szCs w:val="22"/>
        </w:rPr>
        <w:t>que</w:t>
      </w:r>
      <w:r>
        <w:rPr>
          <w:spacing w:val="-12"/>
          <w:sz w:val="22"/>
          <w:szCs w:val="22"/>
        </w:rPr>
        <w:t xml:space="preserve"> </w:t>
      </w:r>
      <w:r>
        <w:rPr>
          <w:sz w:val="22"/>
          <w:szCs w:val="22"/>
        </w:rPr>
        <w:t>se</w:t>
      </w:r>
      <w:r>
        <w:rPr>
          <w:spacing w:val="-12"/>
          <w:sz w:val="22"/>
          <w:szCs w:val="22"/>
        </w:rPr>
        <w:t xml:space="preserve"> </w:t>
      </w:r>
      <w:r>
        <w:rPr>
          <w:sz w:val="22"/>
          <w:szCs w:val="22"/>
        </w:rPr>
        <w:t>desarrollarán</w:t>
      </w:r>
      <w:r>
        <w:rPr>
          <w:spacing w:val="-8"/>
          <w:sz w:val="22"/>
          <w:szCs w:val="22"/>
        </w:rPr>
        <w:t xml:space="preserve"> </w:t>
      </w:r>
      <w:r>
        <w:rPr>
          <w:sz w:val="22"/>
          <w:szCs w:val="22"/>
        </w:rPr>
        <w:t>en</w:t>
      </w:r>
      <w:r>
        <w:rPr>
          <w:spacing w:val="-8"/>
          <w:sz w:val="22"/>
          <w:szCs w:val="22"/>
        </w:rPr>
        <w:t xml:space="preserve"> </w:t>
      </w:r>
      <w:r>
        <w:rPr>
          <w:sz w:val="22"/>
          <w:szCs w:val="22"/>
        </w:rPr>
        <w:t>el</w:t>
      </w:r>
      <w:r>
        <w:rPr>
          <w:spacing w:val="-12"/>
          <w:sz w:val="22"/>
          <w:szCs w:val="22"/>
        </w:rPr>
        <w:t xml:space="preserve"> </w:t>
      </w:r>
      <w:r>
        <w:rPr>
          <w:sz w:val="22"/>
          <w:szCs w:val="22"/>
        </w:rPr>
        <w:t>lugar</w:t>
      </w:r>
      <w:r>
        <w:rPr>
          <w:spacing w:val="-7"/>
          <w:sz w:val="22"/>
          <w:szCs w:val="22"/>
        </w:rPr>
        <w:t xml:space="preserve"> </w:t>
      </w:r>
      <w:r>
        <w:rPr>
          <w:sz w:val="22"/>
          <w:szCs w:val="22"/>
        </w:rPr>
        <w:t>que</w:t>
      </w:r>
      <w:r>
        <w:rPr>
          <w:spacing w:val="-11"/>
          <w:sz w:val="22"/>
          <w:szCs w:val="22"/>
        </w:rPr>
        <w:t xml:space="preserve"> </w:t>
      </w:r>
      <w:r>
        <w:rPr>
          <w:sz w:val="22"/>
          <w:szCs w:val="22"/>
        </w:rPr>
        <w:t>proponga el Contratista previo a la aprobación del Administrador del Contrato.</w:t>
      </w:r>
    </w:p>
    <w:p>
      <w:pPr>
        <w:pStyle w:val="Prrafodelista"/>
        <w:widowControl w:val="0"/>
        <w:numPr>
          <w:ilvl w:val="1"/>
          <w:numId w:val="186"/>
        </w:numPr>
        <w:tabs>
          <w:tab w:val="left" w:pos="1277"/>
        </w:tabs>
        <w:autoSpaceDE w:val="0"/>
        <w:autoSpaceDN w:val="0"/>
        <w:ind w:right="15" w:hanging="286"/>
        <w:contextualSpacing w:val="0"/>
        <w:jc w:val="both"/>
        <w:rPr>
          <w:sz w:val="22"/>
          <w:szCs w:val="22"/>
        </w:rPr>
      </w:pPr>
      <w:r>
        <w:rPr>
          <w:noProof/>
          <w:sz w:val="22"/>
          <w:szCs w:val="22"/>
        </w:rPr>
        <mc:AlternateContent>
          <mc:Choice Requires="wps">
            <w:drawing>
              <wp:anchor distT="0" distB="0" distL="0" distR="0" simplePos="0" relativeHeight="251661312" behindDoc="1" locked="0" layoutInCell="1" allowOverlap="1">
                <wp:simplePos x="0" y="0"/>
                <wp:positionH relativeFrom="page">
                  <wp:posOffset>5868034</wp:posOffset>
                </wp:positionH>
                <wp:positionV relativeFrom="paragraph">
                  <wp:posOffset>141436</wp:posOffset>
                </wp:positionV>
                <wp:extent cx="37465" cy="190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905"/>
                        </a:xfrm>
                        <a:custGeom>
                          <a:avLst/>
                          <a:gdLst/>
                          <a:ahLst/>
                          <a:cxnLst/>
                          <a:rect l="l" t="t" r="r" b="b"/>
                          <a:pathLst>
                            <a:path w="37465" h="1905">
                              <a:moveTo>
                                <a:pt x="36879" y="0"/>
                              </a:moveTo>
                              <a:lnTo>
                                <a:pt x="0" y="0"/>
                              </a:lnTo>
                              <a:lnTo>
                                <a:pt x="0" y="1524"/>
                              </a:lnTo>
                              <a:lnTo>
                                <a:pt x="36879" y="1524"/>
                              </a:lnTo>
                              <a:lnTo>
                                <a:pt x="368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462.05pt;margin-top:11.15pt;width:2.95pt;height:.1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746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" path="m36879,l,,,1524r36879,l36879,xe" fillcolor="black" stroked="f">
                <v:path arrowok="t"/>
                <w10:wrap anchorx="page"/>
              </v:shape>
            </w:pict>
          </mc:Fallback>
        </mc:AlternateContent>
      </w:r>
      <w:r>
        <w:rPr>
          <w:sz w:val="22"/>
          <w:szCs w:val="22"/>
        </w:rPr>
        <w:t>La capacitación será híbrida: 66 horas virtuales de manera asincrónica por la plataforma del Contratista y 16 horas presenciales en el lugar que proponga el Contratista previa autorización del Administrador del Contrato, con un total de 82 horas distribuidos en 30 días calendario.</w:t>
      </w:r>
    </w:p>
    <w:p>
      <w:pPr>
        <w:pStyle w:val="Prrafodelista"/>
        <w:widowControl w:val="0"/>
        <w:numPr>
          <w:ilvl w:val="1"/>
          <w:numId w:val="186"/>
        </w:numPr>
        <w:tabs>
          <w:tab w:val="left" w:pos="1277"/>
        </w:tabs>
        <w:autoSpaceDE w:val="0"/>
        <w:autoSpaceDN w:val="0"/>
        <w:ind w:right="15" w:hanging="286"/>
        <w:contextualSpacing w:val="0"/>
        <w:jc w:val="both"/>
        <w:rPr>
          <w:sz w:val="22"/>
          <w:szCs w:val="22"/>
        </w:rPr>
      </w:pPr>
      <w:r>
        <w:rPr>
          <w:sz w:val="22"/>
          <w:szCs w:val="22"/>
        </w:rPr>
        <w:t>El Contratista deberá llevar un registro de</w:t>
      </w:r>
      <w:r>
        <w:rPr>
          <w:spacing w:val="-1"/>
          <w:sz w:val="22"/>
          <w:szCs w:val="22"/>
        </w:rPr>
        <w:t xml:space="preserve"> </w:t>
      </w:r>
      <w:r>
        <w:rPr>
          <w:sz w:val="22"/>
          <w:szCs w:val="22"/>
        </w:rPr>
        <w:t>asistencia de los participantes y elaborará un archivo fotográfico de cada uno de los talleres impartidos (sean virtuales o presenciales),</w:t>
      </w:r>
      <w:r>
        <w:rPr>
          <w:spacing w:val="-12"/>
          <w:sz w:val="22"/>
          <w:szCs w:val="22"/>
        </w:rPr>
        <w:t xml:space="preserve"> </w:t>
      </w:r>
      <w:r>
        <w:rPr>
          <w:sz w:val="22"/>
          <w:szCs w:val="22"/>
        </w:rPr>
        <w:t>los</w:t>
      </w:r>
      <w:r>
        <w:rPr>
          <w:spacing w:val="-10"/>
          <w:sz w:val="22"/>
          <w:szCs w:val="22"/>
        </w:rPr>
        <w:t xml:space="preserve"> </w:t>
      </w:r>
      <w:r>
        <w:rPr>
          <w:sz w:val="22"/>
          <w:szCs w:val="22"/>
        </w:rPr>
        <w:t>cuales</w:t>
      </w:r>
      <w:r>
        <w:rPr>
          <w:spacing w:val="-11"/>
          <w:sz w:val="22"/>
          <w:szCs w:val="22"/>
        </w:rPr>
        <w:t xml:space="preserve"> </w:t>
      </w:r>
      <w:r>
        <w:rPr>
          <w:sz w:val="22"/>
          <w:szCs w:val="22"/>
        </w:rPr>
        <w:t>servirán</w:t>
      </w:r>
      <w:r>
        <w:rPr>
          <w:spacing w:val="-11"/>
          <w:sz w:val="22"/>
          <w:szCs w:val="22"/>
        </w:rPr>
        <w:t xml:space="preserve"> </w:t>
      </w:r>
      <w:r>
        <w:rPr>
          <w:sz w:val="22"/>
          <w:szCs w:val="22"/>
        </w:rPr>
        <w:t>de</w:t>
      </w:r>
      <w:r>
        <w:rPr>
          <w:spacing w:val="-12"/>
          <w:sz w:val="22"/>
          <w:szCs w:val="22"/>
        </w:rPr>
        <w:t xml:space="preserve"> </w:t>
      </w:r>
      <w:r>
        <w:rPr>
          <w:sz w:val="22"/>
          <w:szCs w:val="22"/>
        </w:rPr>
        <w:t>sustento</w:t>
      </w:r>
      <w:r>
        <w:rPr>
          <w:spacing w:val="-12"/>
          <w:sz w:val="22"/>
          <w:szCs w:val="22"/>
        </w:rPr>
        <w:t xml:space="preserve"> </w:t>
      </w:r>
      <w:r>
        <w:rPr>
          <w:sz w:val="22"/>
          <w:szCs w:val="22"/>
        </w:rPr>
        <w:t>y</w:t>
      </w:r>
      <w:r>
        <w:rPr>
          <w:spacing w:val="-11"/>
          <w:sz w:val="22"/>
          <w:szCs w:val="22"/>
        </w:rPr>
        <w:t xml:space="preserve"> </w:t>
      </w:r>
      <w:r>
        <w:rPr>
          <w:sz w:val="22"/>
          <w:szCs w:val="22"/>
        </w:rPr>
        <w:t>como</w:t>
      </w:r>
      <w:r>
        <w:rPr>
          <w:spacing w:val="-12"/>
          <w:sz w:val="22"/>
          <w:szCs w:val="22"/>
        </w:rPr>
        <w:t xml:space="preserve"> </w:t>
      </w:r>
      <w:r>
        <w:rPr>
          <w:sz w:val="22"/>
          <w:szCs w:val="22"/>
        </w:rPr>
        <w:t>anexos</w:t>
      </w:r>
      <w:r>
        <w:rPr>
          <w:spacing w:val="-8"/>
          <w:sz w:val="22"/>
          <w:szCs w:val="22"/>
        </w:rPr>
        <w:t xml:space="preserve"> </w:t>
      </w:r>
      <w:r>
        <w:rPr>
          <w:sz w:val="22"/>
          <w:szCs w:val="22"/>
        </w:rPr>
        <w:t>para</w:t>
      </w:r>
      <w:r>
        <w:rPr>
          <w:spacing w:val="-10"/>
          <w:sz w:val="22"/>
          <w:szCs w:val="22"/>
        </w:rPr>
        <w:t xml:space="preserve"> </w:t>
      </w:r>
      <w:r>
        <w:rPr>
          <w:sz w:val="22"/>
          <w:szCs w:val="22"/>
        </w:rPr>
        <w:t>la</w:t>
      </w:r>
      <w:r>
        <w:rPr>
          <w:spacing w:val="-12"/>
          <w:sz w:val="22"/>
          <w:szCs w:val="22"/>
        </w:rPr>
        <w:t xml:space="preserve"> </w:t>
      </w:r>
      <w:r>
        <w:rPr>
          <w:sz w:val="22"/>
          <w:szCs w:val="22"/>
        </w:rPr>
        <w:t>realización</w:t>
      </w:r>
      <w:r>
        <w:rPr>
          <w:spacing w:val="-11"/>
          <w:sz w:val="22"/>
          <w:szCs w:val="22"/>
        </w:rPr>
        <w:t xml:space="preserve"> </w:t>
      </w:r>
      <w:r>
        <w:rPr>
          <w:sz w:val="22"/>
          <w:szCs w:val="22"/>
        </w:rPr>
        <w:t>de</w:t>
      </w:r>
      <w:r>
        <w:rPr>
          <w:spacing w:val="-10"/>
          <w:sz w:val="22"/>
          <w:szCs w:val="22"/>
        </w:rPr>
        <w:t xml:space="preserve"> </w:t>
      </w:r>
      <w:r>
        <w:rPr>
          <w:sz w:val="22"/>
          <w:szCs w:val="22"/>
        </w:rPr>
        <w:t>los informes respectivos.</w:t>
      </w:r>
    </w:p>
    <w:p>
      <w:pPr>
        <w:pStyle w:val="Prrafodelista"/>
        <w:widowControl w:val="0"/>
        <w:numPr>
          <w:ilvl w:val="1"/>
          <w:numId w:val="186"/>
        </w:numPr>
        <w:tabs>
          <w:tab w:val="left" w:pos="1276"/>
        </w:tabs>
        <w:autoSpaceDE w:val="0"/>
        <w:autoSpaceDN w:val="0"/>
        <w:ind w:hanging="285"/>
        <w:contextualSpacing w:val="0"/>
        <w:jc w:val="both"/>
        <w:rPr>
          <w:sz w:val="22"/>
          <w:szCs w:val="22"/>
        </w:rPr>
      </w:pPr>
      <w:r>
        <w:rPr>
          <w:sz w:val="22"/>
          <w:szCs w:val="22"/>
        </w:rPr>
        <w:t>La</w:t>
      </w:r>
      <w:r>
        <w:rPr>
          <w:spacing w:val="69"/>
          <w:w w:val="150"/>
          <w:sz w:val="22"/>
          <w:szCs w:val="22"/>
        </w:rPr>
        <w:t xml:space="preserve"> </w:t>
      </w:r>
      <w:r>
        <w:rPr>
          <w:sz w:val="22"/>
          <w:szCs w:val="22"/>
        </w:rPr>
        <w:t>capacitación</w:t>
      </w:r>
      <w:r>
        <w:rPr>
          <w:spacing w:val="69"/>
          <w:w w:val="150"/>
          <w:sz w:val="22"/>
          <w:szCs w:val="22"/>
        </w:rPr>
        <w:t xml:space="preserve"> </w:t>
      </w:r>
      <w:r>
        <w:rPr>
          <w:sz w:val="22"/>
          <w:szCs w:val="22"/>
        </w:rPr>
        <w:t>incluirá</w:t>
      </w:r>
      <w:r>
        <w:rPr>
          <w:spacing w:val="68"/>
          <w:w w:val="150"/>
          <w:sz w:val="22"/>
          <w:szCs w:val="22"/>
        </w:rPr>
        <w:t xml:space="preserve"> </w:t>
      </w:r>
      <w:r>
        <w:rPr>
          <w:sz w:val="22"/>
          <w:szCs w:val="22"/>
        </w:rPr>
        <w:t>ejercicios</w:t>
      </w:r>
      <w:r>
        <w:rPr>
          <w:spacing w:val="68"/>
          <w:w w:val="150"/>
          <w:sz w:val="22"/>
          <w:szCs w:val="22"/>
        </w:rPr>
        <w:t xml:space="preserve"> </w:t>
      </w:r>
      <w:r>
        <w:rPr>
          <w:sz w:val="22"/>
          <w:szCs w:val="22"/>
        </w:rPr>
        <w:t>de</w:t>
      </w:r>
      <w:r>
        <w:rPr>
          <w:spacing w:val="69"/>
          <w:w w:val="150"/>
          <w:sz w:val="22"/>
          <w:szCs w:val="22"/>
        </w:rPr>
        <w:t xml:space="preserve"> </w:t>
      </w:r>
      <w:r>
        <w:rPr>
          <w:sz w:val="22"/>
          <w:szCs w:val="22"/>
        </w:rPr>
        <w:t>aplicación</w:t>
      </w:r>
      <w:r>
        <w:rPr>
          <w:spacing w:val="70"/>
          <w:w w:val="150"/>
          <w:sz w:val="22"/>
          <w:szCs w:val="22"/>
        </w:rPr>
        <w:t xml:space="preserve"> </w:t>
      </w:r>
      <w:r>
        <w:rPr>
          <w:sz w:val="22"/>
          <w:szCs w:val="22"/>
        </w:rPr>
        <w:t>y</w:t>
      </w:r>
      <w:r>
        <w:rPr>
          <w:spacing w:val="71"/>
          <w:w w:val="150"/>
          <w:sz w:val="22"/>
          <w:szCs w:val="22"/>
        </w:rPr>
        <w:t xml:space="preserve"> </w:t>
      </w:r>
      <w:r>
        <w:rPr>
          <w:sz w:val="22"/>
          <w:szCs w:val="22"/>
        </w:rPr>
        <w:t>análisis</w:t>
      </w:r>
      <w:r>
        <w:rPr>
          <w:spacing w:val="68"/>
          <w:w w:val="150"/>
          <w:sz w:val="22"/>
          <w:szCs w:val="22"/>
        </w:rPr>
        <w:t xml:space="preserve"> </w:t>
      </w:r>
      <w:r>
        <w:rPr>
          <w:sz w:val="22"/>
          <w:szCs w:val="22"/>
        </w:rPr>
        <w:t>de</w:t>
      </w:r>
      <w:r>
        <w:rPr>
          <w:spacing w:val="69"/>
          <w:w w:val="150"/>
          <w:sz w:val="22"/>
          <w:szCs w:val="22"/>
        </w:rPr>
        <w:t xml:space="preserve"> </w:t>
      </w:r>
      <w:r>
        <w:rPr>
          <w:sz w:val="22"/>
          <w:szCs w:val="22"/>
        </w:rPr>
        <w:t>Estrategias</w:t>
      </w:r>
      <w:r>
        <w:rPr>
          <w:spacing w:val="68"/>
          <w:w w:val="150"/>
          <w:sz w:val="22"/>
          <w:szCs w:val="22"/>
        </w:rPr>
        <w:t xml:space="preserve"> </w:t>
      </w:r>
      <w:r>
        <w:rPr>
          <w:spacing w:val="-5"/>
          <w:sz w:val="22"/>
          <w:szCs w:val="22"/>
        </w:rPr>
        <w:t>de C</w:t>
      </w:r>
      <w:r>
        <w:rPr>
          <w:sz w:val="22"/>
          <w:szCs w:val="22"/>
        </w:rPr>
        <w:t>omunicación</w:t>
      </w:r>
      <w:r>
        <w:rPr>
          <w:spacing w:val="-4"/>
          <w:sz w:val="22"/>
          <w:szCs w:val="22"/>
        </w:rPr>
        <w:t xml:space="preserve"> </w:t>
      </w:r>
      <w:r>
        <w:rPr>
          <w:sz w:val="22"/>
          <w:szCs w:val="22"/>
        </w:rPr>
        <w:t>aplicadas</w:t>
      </w:r>
      <w:r>
        <w:rPr>
          <w:spacing w:val="-3"/>
          <w:sz w:val="22"/>
          <w:szCs w:val="22"/>
        </w:rPr>
        <w:t xml:space="preserve"> </w:t>
      </w:r>
      <w:r>
        <w:rPr>
          <w:sz w:val="22"/>
          <w:szCs w:val="22"/>
        </w:rPr>
        <w:t>en</w:t>
      </w:r>
      <w:r>
        <w:rPr>
          <w:spacing w:val="-4"/>
          <w:sz w:val="22"/>
          <w:szCs w:val="22"/>
        </w:rPr>
        <w:t xml:space="preserve"> </w:t>
      </w:r>
      <w:r>
        <w:rPr>
          <w:sz w:val="22"/>
          <w:szCs w:val="22"/>
        </w:rPr>
        <w:t>casos</w:t>
      </w:r>
      <w:r>
        <w:rPr>
          <w:spacing w:val="-6"/>
          <w:sz w:val="22"/>
          <w:szCs w:val="22"/>
        </w:rPr>
        <w:t xml:space="preserve"> </w:t>
      </w:r>
      <w:r>
        <w:rPr>
          <w:sz w:val="22"/>
          <w:szCs w:val="22"/>
        </w:rPr>
        <w:t>de</w:t>
      </w:r>
      <w:r>
        <w:rPr>
          <w:spacing w:val="-4"/>
          <w:sz w:val="22"/>
          <w:szCs w:val="22"/>
        </w:rPr>
        <w:t xml:space="preserve"> </w:t>
      </w:r>
      <w:r>
        <w:rPr>
          <w:sz w:val="22"/>
          <w:szCs w:val="22"/>
        </w:rPr>
        <w:t>éxito</w:t>
      </w:r>
      <w:r>
        <w:rPr>
          <w:spacing w:val="-6"/>
          <w:sz w:val="22"/>
          <w:szCs w:val="22"/>
        </w:rPr>
        <w:t xml:space="preserve"> </w:t>
      </w:r>
      <w:r>
        <w:rPr>
          <w:sz w:val="22"/>
          <w:szCs w:val="22"/>
        </w:rPr>
        <w:t>y</w:t>
      </w:r>
      <w:r>
        <w:rPr>
          <w:spacing w:val="-5"/>
          <w:sz w:val="22"/>
          <w:szCs w:val="22"/>
        </w:rPr>
        <w:t xml:space="preserve"> </w:t>
      </w:r>
      <w:r>
        <w:rPr>
          <w:sz w:val="22"/>
          <w:szCs w:val="22"/>
        </w:rPr>
        <w:t>crisis</w:t>
      </w:r>
      <w:r>
        <w:rPr>
          <w:spacing w:val="-3"/>
          <w:sz w:val="22"/>
          <w:szCs w:val="22"/>
        </w:rPr>
        <w:t xml:space="preserve"> </w:t>
      </w:r>
      <w:r>
        <w:rPr>
          <w:spacing w:val="-2"/>
          <w:sz w:val="22"/>
          <w:szCs w:val="22"/>
        </w:rPr>
        <w:t>comunicacional.</w:t>
      </w:r>
    </w:p>
    <w:p>
      <w:pPr>
        <w:pStyle w:val="Prrafodelista"/>
        <w:widowControl w:val="0"/>
        <w:numPr>
          <w:ilvl w:val="1"/>
          <w:numId w:val="186"/>
        </w:numPr>
        <w:tabs>
          <w:tab w:val="left" w:pos="1277"/>
        </w:tabs>
        <w:autoSpaceDE w:val="0"/>
        <w:autoSpaceDN w:val="0"/>
        <w:ind w:right="15" w:hanging="286"/>
        <w:contextualSpacing w:val="0"/>
        <w:jc w:val="both"/>
        <w:rPr>
          <w:sz w:val="22"/>
          <w:szCs w:val="22"/>
        </w:rPr>
      </w:pPr>
      <w:r>
        <w:rPr>
          <w:sz w:val="22"/>
          <w:szCs w:val="22"/>
        </w:rPr>
        <w:t>Cada una de las actividades a realizarse dentro de los talleres se deberán coordinar con el Administrador del Contrato, y cualquier cambio en relación con la ejecución, que</w:t>
      </w:r>
      <w:r>
        <w:rPr>
          <w:spacing w:val="-9"/>
          <w:sz w:val="22"/>
          <w:szCs w:val="22"/>
        </w:rPr>
        <w:t xml:space="preserve"> </w:t>
      </w:r>
      <w:r>
        <w:rPr>
          <w:sz w:val="22"/>
          <w:szCs w:val="22"/>
        </w:rPr>
        <w:t>no</w:t>
      </w:r>
      <w:r>
        <w:rPr>
          <w:spacing w:val="-9"/>
          <w:sz w:val="22"/>
          <w:szCs w:val="22"/>
        </w:rPr>
        <w:t xml:space="preserve"> </w:t>
      </w:r>
      <w:r>
        <w:rPr>
          <w:sz w:val="22"/>
          <w:szCs w:val="22"/>
        </w:rPr>
        <w:t>se</w:t>
      </w:r>
      <w:r>
        <w:rPr>
          <w:spacing w:val="-9"/>
          <w:sz w:val="22"/>
          <w:szCs w:val="22"/>
        </w:rPr>
        <w:t xml:space="preserve"> </w:t>
      </w:r>
      <w:r>
        <w:rPr>
          <w:sz w:val="22"/>
          <w:szCs w:val="22"/>
        </w:rPr>
        <w:t>contemple</w:t>
      </w:r>
      <w:r>
        <w:rPr>
          <w:spacing w:val="-9"/>
          <w:sz w:val="22"/>
          <w:szCs w:val="22"/>
        </w:rPr>
        <w:t xml:space="preserve"> </w:t>
      </w:r>
      <w:r>
        <w:rPr>
          <w:sz w:val="22"/>
          <w:szCs w:val="22"/>
        </w:rPr>
        <w:t>en</w:t>
      </w:r>
      <w:r>
        <w:rPr>
          <w:spacing w:val="-8"/>
          <w:sz w:val="22"/>
          <w:szCs w:val="22"/>
        </w:rPr>
        <w:t xml:space="preserve"> </w:t>
      </w:r>
      <w:r>
        <w:rPr>
          <w:sz w:val="22"/>
          <w:szCs w:val="22"/>
        </w:rPr>
        <w:t>el</w:t>
      </w:r>
      <w:r>
        <w:rPr>
          <w:spacing w:val="-11"/>
          <w:sz w:val="22"/>
          <w:szCs w:val="22"/>
        </w:rPr>
        <w:t xml:space="preserve"> </w:t>
      </w:r>
      <w:r>
        <w:rPr>
          <w:sz w:val="22"/>
          <w:szCs w:val="22"/>
        </w:rPr>
        <w:t>Cronograma</w:t>
      </w:r>
      <w:r>
        <w:rPr>
          <w:spacing w:val="-11"/>
          <w:sz w:val="22"/>
          <w:szCs w:val="22"/>
        </w:rPr>
        <w:t xml:space="preserve"> </w:t>
      </w:r>
      <w:r>
        <w:rPr>
          <w:sz w:val="22"/>
          <w:szCs w:val="22"/>
        </w:rPr>
        <w:t>de</w:t>
      </w:r>
      <w:r>
        <w:rPr>
          <w:spacing w:val="-9"/>
          <w:sz w:val="22"/>
          <w:szCs w:val="22"/>
        </w:rPr>
        <w:t xml:space="preserve"> </w:t>
      </w:r>
      <w:r>
        <w:rPr>
          <w:sz w:val="22"/>
          <w:szCs w:val="22"/>
        </w:rPr>
        <w:t>Trabajo,</w:t>
      </w:r>
      <w:r>
        <w:rPr>
          <w:spacing w:val="-11"/>
          <w:sz w:val="22"/>
          <w:szCs w:val="22"/>
        </w:rPr>
        <w:t xml:space="preserve"> </w:t>
      </w:r>
      <w:r>
        <w:rPr>
          <w:sz w:val="22"/>
          <w:szCs w:val="22"/>
        </w:rPr>
        <w:t>Metodología</w:t>
      </w:r>
      <w:r>
        <w:rPr>
          <w:spacing w:val="-9"/>
          <w:sz w:val="22"/>
          <w:szCs w:val="22"/>
        </w:rPr>
        <w:t xml:space="preserve"> </w:t>
      </w:r>
      <w:r>
        <w:rPr>
          <w:sz w:val="22"/>
          <w:szCs w:val="22"/>
        </w:rPr>
        <w:t>de</w:t>
      </w:r>
      <w:r>
        <w:rPr>
          <w:spacing w:val="-9"/>
          <w:sz w:val="22"/>
          <w:szCs w:val="22"/>
        </w:rPr>
        <w:t xml:space="preserve"> </w:t>
      </w:r>
      <w:r>
        <w:rPr>
          <w:sz w:val="22"/>
          <w:szCs w:val="22"/>
        </w:rPr>
        <w:t>Trabajo</w:t>
      </w:r>
      <w:r>
        <w:rPr>
          <w:spacing w:val="-10"/>
          <w:sz w:val="22"/>
          <w:szCs w:val="22"/>
        </w:rPr>
        <w:t xml:space="preserve"> </w:t>
      </w:r>
      <w:r>
        <w:rPr>
          <w:sz w:val="22"/>
          <w:szCs w:val="22"/>
        </w:rPr>
        <w:t>o</w:t>
      </w:r>
      <w:r>
        <w:rPr>
          <w:spacing w:val="-9"/>
          <w:sz w:val="22"/>
          <w:szCs w:val="22"/>
        </w:rPr>
        <w:t xml:space="preserve"> </w:t>
      </w:r>
      <w:r>
        <w:rPr>
          <w:sz w:val="22"/>
          <w:szCs w:val="22"/>
        </w:rPr>
        <w:t>Plan</w:t>
      </w:r>
      <w:r>
        <w:rPr>
          <w:spacing w:val="-8"/>
          <w:sz w:val="22"/>
          <w:szCs w:val="22"/>
        </w:rPr>
        <w:t xml:space="preserve"> </w:t>
      </w:r>
      <w:r>
        <w:rPr>
          <w:sz w:val="22"/>
          <w:szCs w:val="22"/>
        </w:rPr>
        <w:t>de Contenidos deberá ser aprobada y autorizada por el Administrador del Contrato.</w:t>
      </w:r>
    </w:p>
    <w:p>
      <w:pPr>
        <w:pStyle w:val="Prrafodelista"/>
        <w:widowControl w:val="0"/>
        <w:numPr>
          <w:ilvl w:val="1"/>
          <w:numId w:val="186"/>
        </w:numPr>
        <w:tabs>
          <w:tab w:val="left" w:pos="1277"/>
        </w:tabs>
        <w:autoSpaceDE w:val="0"/>
        <w:autoSpaceDN w:val="0"/>
        <w:ind w:right="15" w:hanging="281"/>
        <w:contextualSpacing w:val="0"/>
        <w:jc w:val="both"/>
        <w:rPr>
          <w:sz w:val="22"/>
          <w:szCs w:val="22"/>
        </w:rPr>
      </w:pPr>
      <w:r>
        <w:rPr>
          <w:sz w:val="22"/>
          <w:szCs w:val="22"/>
        </w:rPr>
        <w:t>El</w:t>
      </w:r>
      <w:r>
        <w:rPr>
          <w:spacing w:val="-4"/>
          <w:sz w:val="22"/>
          <w:szCs w:val="22"/>
        </w:rPr>
        <w:t xml:space="preserve"> </w:t>
      </w:r>
      <w:r>
        <w:rPr>
          <w:sz w:val="22"/>
          <w:szCs w:val="22"/>
        </w:rPr>
        <w:t>Administrador</w:t>
      </w:r>
      <w:r>
        <w:rPr>
          <w:spacing w:val="-4"/>
          <w:sz w:val="22"/>
          <w:szCs w:val="22"/>
        </w:rPr>
        <w:t xml:space="preserve"> </w:t>
      </w:r>
      <w:r>
        <w:rPr>
          <w:sz w:val="22"/>
          <w:szCs w:val="22"/>
        </w:rPr>
        <w:t>del</w:t>
      </w:r>
      <w:r>
        <w:rPr>
          <w:spacing w:val="-8"/>
          <w:sz w:val="22"/>
          <w:szCs w:val="22"/>
        </w:rPr>
        <w:t xml:space="preserve"> </w:t>
      </w:r>
      <w:r>
        <w:rPr>
          <w:sz w:val="22"/>
          <w:szCs w:val="22"/>
        </w:rPr>
        <w:t>Contrato</w:t>
      </w:r>
      <w:r>
        <w:rPr>
          <w:spacing w:val="-6"/>
          <w:sz w:val="22"/>
          <w:szCs w:val="22"/>
        </w:rPr>
        <w:t xml:space="preserve"> </w:t>
      </w:r>
      <w:r>
        <w:rPr>
          <w:sz w:val="22"/>
          <w:szCs w:val="22"/>
        </w:rPr>
        <w:t>entregará</w:t>
      </w:r>
      <w:r>
        <w:rPr>
          <w:spacing w:val="-5"/>
          <w:sz w:val="22"/>
          <w:szCs w:val="22"/>
        </w:rPr>
        <w:t xml:space="preserve"> </w:t>
      </w:r>
      <w:r>
        <w:rPr>
          <w:sz w:val="22"/>
          <w:szCs w:val="22"/>
        </w:rPr>
        <w:t>al</w:t>
      </w:r>
      <w:r>
        <w:rPr>
          <w:spacing w:val="-7"/>
          <w:sz w:val="22"/>
          <w:szCs w:val="22"/>
        </w:rPr>
        <w:t xml:space="preserve"> </w:t>
      </w:r>
      <w:r>
        <w:rPr>
          <w:sz w:val="22"/>
          <w:szCs w:val="22"/>
        </w:rPr>
        <w:t>Contratista</w:t>
      </w:r>
      <w:r>
        <w:rPr>
          <w:spacing w:val="-5"/>
          <w:sz w:val="22"/>
          <w:szCs w:val="22"/>
        </w:rPr>
        <w:t xml:space="preserve"> </w:t>
      </w:r>
      <w:r>
        <w:rPr>
          <w:sz w:val="22"/>
          <w:szCs w:val="22"/>
        </w:rPr>
        <w:t>la</w:t>
      </w:r>
      <w:r>
        <w:rPr>
          <w:spacing w:val="-5"/>
          <w:sz w:val="22"/>
          <w:szCs w:val="22"/>
        </w:rPr>
        <w:t xml:space="preserve"> </w:t>
      </w:r>
      <w:r>
        <w:rPr>
          <w:sz w:val="22"/>
          <w:szCs w:val="22"/>
        </w:rPr>
        <w:t>lista</w:t>
      </w:r>
      <w:r>
        <w:rPr>
          <w:spacing w:val="-5"/>
          <w:sz w:val="22"/>
          <w:szCs w:val="22"/>
        </w:rPr>
        <w:t xml:space="preserve"> </w:t>
      </w:r>
      <w:r>
        <w:rPr>
          <w:sz w:val="22"/>
          <w:szCs w:val="22"/>
        </w:rPr>
        <w:t>de</w:t>
      </w:r>
      <w:r>
        <w:rPr>
          <w:spacing w:val="-5"/>
          <w:sz w:val="22"/>
          <w:szCs w:val="22"/>
        </w:rPr>
        <w:t xml:space="preserve"> </w:t>
      </w:r>
      <w:r>
        <w:rPr>
          <w:sz w:val="22"/>
          <w:szCs w:val="22"/>
        </w:rPr>
        <w:t>los</w:t>
      </w:r>
      <w:r>
        <w:rPr>
          <w:spacing w:val="-4"/>
          <w:sz w:val="22"/>
          <w:szCs w:val="22"/>
        </w:rPr>
        <w:t xml:space="preserve"> </w:t>
      </w:r>
      <w:r>
        <w:rPr>
          <w:sz w:val="22"/>
          <w:szCs w:val="22"/>
        </w:rPr>
        <w:t>funcionarios</w:t>
      </w:r>
      <w:r>
        <w:rPr>
          <w:spacing w:val="-4"/>
          <w:sz w:val="22"/>
          <w:szCs w:val="22"/>
        </w:rPr>
        <w:t xml:space="preserve"> </w:t>
      </w:r>
      <w:r>
        <w:rPr>
          <w:sz w:val="22"/>
          <w:szCs w:val="22"/>
        </w:rPr>
        <w:t>que participarán en los talleres.</w:t>
      </w:r>
    </w:p>
    <w:p>
      <w:pPr>
        <w:pStyle w:val="Prrafodelista"/>
        <w:widowControl w:val="0"/>
        <w:numPr>
          <w:ilvl w:val="1"/>
          <w:numId w:val="186"/>
        </w:numPr>
        <w:tabs>
          <w:tab w:val="left" w:pos="1277"/>
        </w:tabs>
        <w:autoSpaceDE w:val="0"/>
        <w:autoSpaceDN w:val="0"/>
        <w:ind w:right="15" w:hanging="281"/>
        <w:contextualSpacing w:val="0"/>
        <w:jc w:val="both"/>
        <w:rPr>
          <w:sz w:val="22"/>
          <w:szCs w:val="22"/>
        </w:rPr>
      </w:pPr>
      <w:r>
        <w:rPr>
          <w:sz w:val="22"/>
          <w:szCs w:val="22"/>
        </w:rPr>
        <w:t>El Contratista entregará el Informe de Actividades realizadas en la ejecución contractual que detalle las acciones cumplidas y materiales proporcionados, incluyendo los documentos de respaldo y fotografías.</w:t>
      </w:r>
    </w:p>
    <w:p>
      <w:pPr>
        <w:pStyle w:val="Prrafodelista"/>
        <w:widowControl w:val="0"/>
        <w:numPr>
          <w:ilvl w:val="1"/>
          <w:numId w:val="186"/>
        </w:numPr>
        <w:tabs>
          <w:tab w:val="left" w:pos="1277"/>
        </w:tabs>
        <w:autoSpaceDE w:val="0"/>
        <w:autoSpaceDN w:val="0"/>
        <w:ind w:right="15" w:hanging="281"/>
        <w:contextualSpacing w:val="0"/>
        <w:jc w:val="both"/>
        <w:rPr>
          <w:sz w:val="22"/>
          <w:szCs w:val="22"/>
        </w:rPr>
      </w:pPr>
      <w:r>
        <w:rPr>
          <w:sz w:val="22"/>
          <w:szCs w:val="22"/>
        </w:rPr>
        <w:t>El Contratista proveerá, bajo su propia cuenta, los espacios físicos donde</w:t>
      </w:r>
      <w:r>
        <w:rPr>
          <w:spacing w:val="-1"/>
          <w:sz w:val="22"/>
          <w:szCs w:val="22"/>
        </w:rPr>
        <w:t xml:space="preserve"> </w:t>
      </w:r>
      <w:r>
        <w:rPr>
          <w:sz w:val="22"/>
          <w:szCs w:val="22"/>
        </w:rPr>
        <w:t>se llevarán a cabo los talleres presenciales en la ciudad de Quito, previa aprobación del Administrador de Contrato.</w:t>
      </w:r>
    </w:p>
    <w:p>
      <w:pPr>
        <w:pStyle w:val="Prrafodelista"/>
        <w:widowControl w:val="0"/>
        <w:numPr>
          <w:ilvl w:val="1"/>
          <w:numId w:val="186"/>
        </w:numPr>
        <w:tabs>
          <w:tab w:val="left" w:pos="1277"/>
        </w:tabs>
        <w:autoSpaceDE w:val="0"/>
        <w:autoSpaceDN w:val="0"/>
        <w:ind w:right="15" w:hanging="281"/>
        <w:contextualSpacing w:val="0"/>
        <w:jc w:val="both"/>
        <w:rPr>
          <w:sz w:val="22"/>
          <w:szCs w:val="22"/>
        </w:rPr>
      </w:pPr>
      <w:r>
        <w:rPr>
          <w:sz w:val="22"/>
          <w:szCs w:val="22"/>
        </w:rPr>
        <w:t>El Contratista entregará los certificados en las que se incluyan</w:t>
      </w:r>
      <w:r>
        <w:rPr>
          <w:spacing w:val="40"/>
          <w:sz w:val="22"/>
          <w:szCs w:val="22"/>
        </w:rPr>
        <w:t xml:space="preserve"> </w:t>
      </w:r>
      <w:r>
        <w:rPr>
          <w:sz w:val="22"/>
          <w:szCs w:val="22"/>
        </w:rPr>
        <w:t>el total de las</w:t>
      </w:r>
      <w:r>
        <w:rPr>
          <w:spacing w:val="40"/>
          <w:sz w:val="22"/>
          <w:szCs w:val="22"/>
        </w:rPr>
        <w:t xml:space="preserve"> </w:t>
      </w:r>
      <w:r>
        <w:rPr>
          <w:sz w:val="22"/>
          <w:szCs w:val="22"/>
        </w:rPr>
        <w:t>horas académicas</w:t>
      </w:r>
      <w:r>
        <w:rPr>
          <w:spacing w:val="-5"/>
          <w:sz w:val="22"/>
          <w:szCs w:val="22"/>
        </w:rPr>
        <w:t xml:space="preserve"> </w:t>
      </w:r>
      <w:r>
        <w:rPr>
          <w:sz w:val="22"/>
          <w:szCs w:val="22"/>
        </w:rPr>
        <w:t>recibidas</w:t>
      </w:r>
      <w:r>
        <w:rPr>
          <w:spacing w:val="-5"/>
          <w:sz w:val="22"/>
          <w:szCs w:val="22"/>
        </w:rPr>
        <w:t xml:space="preserve"> </w:t>
      </w:r>
      <w:r>
        <w:rPr>
          <w:sz w:val="22"/>
          <w:szCs w:val="22"/>
        </w:rPr>
        <w:t>del</w:t>
      </w:r>
      <w:r>
        <w:rPr>
          <w:spacing w:val="-9"/>
          <w:sz w:val="22"/>
          <w:szCs w:val="22"/>
        </w:rPr>
        <w:t xml:space="preserve"> </w:t>
      </w:r>
      <w:r>
        <w:rPr>
          <w:sz w:val="22"/>
          <w:szCs w:val="22"/>
        </w:rPr>
        <w:t>diplomado</w:t>
      </w:r>
      <w:r>
        <w:rPr>
          <w:spacing w:val="-4"/>
          <w:sz w:val="22"/>
          <w:szCs w:val="22"/>
        </w:rPr>
        <w:t xml:space="preserve"> </w:t>
      </w:r>
      <w:r>
        <w:rPr>
          <w:i/>
          <w:sz w:val="22"/>
          <w:szCs w:val="22"/>
        </w:rPr>
        <w:t>“Capacitación</w:t>
      </w:r>
      <w:r>
        <w:rPr>
          <w:i/>
          <w:spacing w:val="-6"/>
          <w:sz w:val="22"/>
          <w:szCs w:val="22"/>
        </w:rPr>
        <w:t xml:space="preserve"> </w:t>
      </w:r>
      <w:r>
        <w:rPr>
          <w:i/>
          <w:sz w:val="22"/>
          <w:szCs w:val="22"/>
        </w:rPr>
        <w:t>en</w:t>
      </w:r>
      <w:r>
        <w:rPr>
          <w:i/>
          <w:spacing w:val="-6"/>
          <w:sz w:val="22"/>
          <w:szCs w:val="22"/>
        </w:rPr>
        <w:t xml:space="preserve"> </w:t>
      </w:r>
      <w:r>
        <w:rPr>
          <w:i/>
          <w:sz w:val="22"/>
          <w:szCs w:val="22"/>
        </w:rPr>
        <w:t>herramientas</w:t>
      </w:r>
      <w:r>
        <w:rPr>
          <w:i/>
          <w:spacing w:val="-9"/>
          <w:sz w:val="22"/>
          <w:szCs w:val="22"/>
        </w:rPr>
        <w:t xml:space="preserve"> </w:t>
      </w:r>
      <w:r>
        <w:rPr>
          <w:i/>
          <w:sz w:val="22"/>
          <w:szCs w:val="22"/>
        </w:rPr>
        <w:t>de</w:t>
      </w:r>
      <w:r>
        <w:rPr>
          <w:i/>
          <w:spacing w:val="-5"/>
          <w:sz w:val="22"/>
          <w:szCs w:val="22"/>
        </w:rPr>
        <w:t xml:space="preserve"> </w:t>
      </w:r>
      <w:r>
        <w:rPr>
          <w:i/>
          <w:sz w:val="22"/>
          <w:szCs w:val="22"/>
        </w:rPr>
        <w:t xml:space="preserve">Comunicación” </w:t>
      </w:r>
      <w:r>
        <w:rPr>
          <w:sz w:val="22"/>
          <w:szCs w:val="22"/>
        </w:rPr>
        <w:t xml:space="preserve">a los miembros de la Unidad de Comunicación Social de la Procuraduría General del Estado (82 horas académicas). Previo a la entrega de certificados, se entregará la </w:t>
      </w:r>
      <w:r>
        <w:rPr>
          <w:spacing w:val="-2"/>
          <w:sz w:val="22"/>
          <w:szCs w:val="22"/>
        </w:rPr>
        <w:t>Estrategia</w:t>
      </w:r>
      <w:r>
        <w:rPr>
          <w:spacing w:val="-10"/>
          <w:sz w:val="22"/>
          <w:szCs w:val="22"/>
        </w:rPr>
        <w:t xml:space="preserve"> </w:t>
      </w:r>
      <w:r>
        <w:rPr>
          <w:spacing w:val="-2"/>
          <w:sz w:val="22"/>
          <w:szCs w:val="22"/>
        </w:rPr>
        <w:t>de</w:t>
      </w:r>
      <w:r>
        <w:rPr>
          <w:spacing w:val="-10"/>
          <w:sz w:val="22"/>
          <w:szCs w:val="22"/>
        </w:rPr>
        <w:t xml:space="preserve"> </w:t>
      </w:r>
      <w:r>
        <w:rPr>
          <w:spacing w:val="-2"/>
          <w:sz w:val="22"/>
          <w:szCs w:val="22"/>
        </w:rPr>
        <w:t>Comunicación</w:t>
      </w:r>
      <w:r>
        <w:rPr>
          <w:spacing w:val="-10"/>
          <w:sz w:val="22"/>
          <w:szCs w:val="22"/>
        </w:rPr>
        <w:t xml:space="preserve"> </w:t>
      </w:r>
      <w:r>
        <w:rPr>
          <w:spacing w:val="-2"/>
          <w:sz w:val="22"/>
          <w:szCs w:val="22"/>
        </w:rPr>
        <w:t>Digital</w:t>
      </w:r>
      <w:r>
        <w:rPr>
          <w:spacing w:val="-10"/>
          <w:sz w:val="22"/>
          <w:szCs w:val="22"/>
        </w:rPr>
        <w:t xml:space="preserve"> </w:t>
      </w:r>
      <w:r>
        <w:rPr>
          <w:spacing w:val="-2"/>
          <w:sz w:val="22"/>
          <w:szCs w:val="22"/>
        </w:rPr>
        <w:t>para</w:t>
      </w:r>
      <w:r>
        <w:rPr>
          <w:spacing w:val="-10"/>
          <w:sz w:val="22"/>
          <w:szCs w:val="22"/>
        </w:rPr>
        <w:t xml:space="preserve"> </w:t>
      </w:r>
      <w:r>
        <w:rPr>
          <w:spacing w:val="-2"/>
          <w:sz w:val="22"/>
          <w:szCs w:val="22"/>
        </w:rPr>
        <w:t>la</w:t>
      </w:r>
      <w:r>
        <w:rPr>
          <w:spacing w:val="-10"/>
          <w:sz w:val="22"/>
          <w:szCs w:val="22"/>
        </w:rPr>
        <w:t xml:space="preserve"> </w:t>
      </w:r>
      <w:r>
        <w:rPr>
          <w:spacing w:val="-2"/>
          <w:sz w:val="22"/>
          <w:szCs w:val="22"/>
        </w:rPr>
        <w:t>Procuraduría</w:t>
      </w:r>
      <w:r>
        <w:rPr>
          <w:spacing w:val="-10"/>
          <w:sz w:val="22"/>
          <w:szCs w:val="22"/>
        </w:rPr>
        <w:t xml:space="preserve"> </w:t>
      </w:r>
      <w:r>
        <w:rPr>
          <w:spacing w:val="-2"/>
          <w:sz w:val="22"/>
          <w:szCs w:val="22"/>
        </w:rPr>
        <w:t>General</w:t>
      </w:r>
      <w:r>
        <w:rPr>
          <w:spacing w:val="-10"/>
          <w:sz w:val="22"/>
          <w:szCs w:val="22"/>
        </w:rPr>
        <w:t xml:space="preserve"> </w:t>
      </w:r>
      <w:r>
        <w:rPr>
          <w:spacing w:val="-2"/>
          <w:sz w:val="22"/>
          <w:szCs w:val="22"/>
        </w:rPr>
        <w:t>del</w:t>
      </w:r>
      <w:r>
        <w:rPr>
          <w:spacing w:val="-10"/>
          <w:sz w:val="22"/>
          <w:szCs w:val="22"/>
        </w:rPr>
        <w:t xml:space="preserve"> </w:t>
      </w:r>
      <w:r>
        <w:rPr>
          <w:spacing w:val="-2"/>
          <w:sz w:val="22"/>
          <w:szCs w:val="22"/>
        </w:rPr>
        <w:t>Estado;</w:t>
      </w:r>
      <w:r>
        <w:rPr>
          <w:spacing w:val="-10"/>
          <w:sz w:val="22"/>
          <w:szCs w:val="22"/>
        </w:rPr>
        <w:t xml:space="preserve"> </w:t>
      </w:r>
      <w:r>
        <w:rPr>
          <w:spacing w:val="-2"/>
          <w:sz w:val="22"/>
          <w:szCs w:val="22"/>
        </w:rPr>
        <w:t>la</w:t>
      </w:r>
      <w:r>
        <w:rPr>
          <w:spacing w:val="-7"/>
          <w:sz w:val="22"/>
          <w:szCs w:val="22"/>
        </w:rPr>
        <w:t xml:space="preserve"> </w:t>
      </w:r>
      <w:r>
        <w:rPr>
          <w:spacing w:val="-2"/>
          <w:sz w:val="22"/>
          <w:szCs w:val="22"/>
        </w:rPr>
        <w:t>cual</w:t>
      </w:r>
      <w:r>
        <w:rPr>
          <w:sz w:val="22"/>
          <w:szCs w:val="22"/>
        </w:rPr>
        <w:t xml:space="preserve"> </w:t>
      </w:r>
      <w:r>
        <w:rPr>
          <w:spacing w:val="-2"/>
          <w:sz w:val="22"/>
          <w:szCs w:val="22"/>
        </w:rPr>
        <w:t xml:space="preserve">será </w:t>
      </w:r>
      <w:r>
        <w:rPr>
          <w:sz w:val="22"/>
          <w:szCs w:val="22"/>
        </w:rPr>
        <w:t xml:space="preserve">valorada sobre 100 puntos, los funcionarios que superen los 70 puntos obtendrán la </w:t>
      </w:r>
      <w:r>
        <w:rPr>
          <w:spacing w:val="-2"/>
          <w:sz w:val="22"/>
          <w:szCs w:val="22"/>
        </w:rPr>
        <w:t>certificación.</w:t>
      </w:r>
    </w:p>
    <w:p>
      <w:pPr>
        <w:pStyle w:val="Prrafodelista"/>
        <w:widowControl w:val="0"/>
        <w:numPr>
          <w:ilvl w:val="1"/>
          <w:numId w:val="186"/>
        </w:numPr>
        <w:tabs>
          <w:tab w:val="left" w:pos="1277"/>
        </w:tabs>
        <w:autoSpaceDE w:val="0"/>
        <w:autoSpaceDN w:val="0"/>
        <w:ind w:right="15" w:hanging="281"/>
        <w:contextualSpacing w:val="0"/>
        <w:jc w:val="both"/>
        <w:rPr>
          <w:sz w:val="22"/>
          <w:szCs w:val="22"/>
        </w:rPr>
      </w:pPr>
      <w:r>
        <w:rPr>
          <w:sz w:val="22"/>
          <w:szCs w:val="22"/>
        </w:rPr>
        <w:t>Una vez que el</w:t>
      </w:r>
      <w:r>
        <w:rPr>
          <w:spacing w:val="-6"/>
          <w:sz w:val="22"/>
          <w:szCs w:val="22"/>
        </w:rPr>
        <w:t xml:space="preserve"> </w:t>
      </w:r>
      <w:r>
        <w:rPr>
          <w:sz w:val="22"/>
          <w:szCs w:val="22"/>
        </w:rPr>
        <w:t>Contratista entregue los certificados, entregará un informe final con el reporte</w:t>
      </w:r>
      <w:r>
        <w:rPr>
          <w:spacing w:val="-1"/>
          <w:sz w:val="22"/>
          <w:szCs w:val="22"/>
        </w:rPr>
        <w:t xml:space="preserve"> </w:t>
      </w:r>
      <w:r>
        <w:rPr>
          <w:sz w:val="22"/>
          <w:szCs w:val="22"/>
        </w:rPr>
        <w:t>de todas las actividades desarrolladas durante la ejecución del contrato con sus respectivos verificables (documentos, fotos, etc.).</w:t>
      </w:r>
    </w:p>
    <w:p>
      <w:pPr>
        <w:pStyle w:val="Prrafodelista"/>
        <w:widowControl w:val="0"/>
        <w:tabs>
          <w:tab w:val="left" w:pos="1277"/>
        </w:tabs>
        <w:autoSpaceDE w:val="0"/>
        <w:autoSpaceDN w:val="0"/>
        <w:ind w:left="1277" w:right="15"/>
        <w:contextualSpacing w:val="0"/>
        <w:jc w:val="both"/>
        <w:rPr>
          <w:sz w:val="22"/>
          <w:szCs w:val="22"/>
        </w:rPr>
      </w:pPr>
    </w:p>
    <w:p>
      <w:pPr>
        <w:pStyle w:val="Ttulo1"/>
        <w:keepNext w:val="0"/>
        <w:widowControl w:val="0"/>
        <w:numPr>
          <w:ilvl w:val="0"/>
          <w:numId w:val="186"/>
        </w:numPr>
        <w:tabs>
          <w:tab w:val="clear" w:pos="1422"/>
          <w:tab w:val="left" w:pos="565"/>
        </w:tabs>
        <w:autoSpaceDE w:val="0"/>
        <w:autoSpaceDN w:val="0"/>
        <w:ind w:left="565" w:hanging="277"/>
        <w:rPr>
          <w:rFonts w:ascii="Times New Roman" w:hAnsi="Times New Roman" w:cs="Times New Roman"/>
          <w:sz w:val="22"/>
          <w:szCs w:val="22"/>
        </w:rPr>
      </w:pPr>
      <w:r>
        <w:rPr>
          <w:rFonts w:ascii="Times New Roman" w:hAnsi="Times New Roman" w:cs="Times New Roman"/>
          <w:sz w:val="22"/>
          <w:szCs w:val="22"/>
        </w:rPr>
        <w:t>PRODUCTOS</w:t>
      </w:r>
      <w:r>
        <w:rPr>
          <w:rFonts w:ascii="Times New Roman" w:hAnsi="Times New Roman" w:cs="Times New Roman"/>
          <w:spacing w:val="-6"/>
          <w:sz w:val="22"/>
          <w:szCs w:val="22"/>
        </w:rPr>
        <w:t xml:space="preserve"> </w:t>
      </w:r>
      <w:r>
        <w:rPr>
          <w:rFonts w:ascii="Times New Roman" w:hAnsi="Times New Roman" w:cs="Times New Roman"/>
          <w:sz w:val="22"/>
          <w:szCs w:val="22"/>
        </w:rPr>
        <w:t>Y/O</w:t>
      </w:r>
      <w:r>
        <w:rPr>
          <w:rFonts w:ascii="Times New Roman" w:hAnsi="Times New Roman" w:cs="Times New Roman"/>
          <w:spacing w:val="-6"/>
          <w:sz w:val="22"/>
          <w:szCs w:val="22"/>
        </w:rPr>
        <w:t xml:space="preserve"> </w:t>
      </w:r>
      <w:r>
        <w:rPr>
          <w:rFonts w:ascii="Times New Roman" w:hAnsi="Times New Roman" w:cs="Times New Roman"/>
          <w:sz w:val="22"/>
          <w:szCs w:val="22"/>
        </w:rPr>
        <w:t>SERVICIOS</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ESPERADOS</w:t>
      </w:r>
    </w:p>
    <w:p>
      <w:pPr>
        <w:pStyle w:val="Textoindependiente"/>
        <w:rPr>
          <w:rFonts w:ascii="Times New Roman" w:hAnsi="Times New Roman" w:cs="Times New Roman"/>
          <w:b/>
          <w:sz w:val="22"/>
          <w:szCs w:val="22"/>
        </w:rPr>
      </w:pPr>
    </w:p>
    <w:p>
      <w:pPr>
        <w:ind w:left="283" w:firstLine="4"/>
        <w:rPr>
          <w:b/>
          <w:sz w:val="22"/>
          <w:szCs w:val="22"/>
        </w:rPr>
      </w:pPr>
      <w:r>
        <w:rPr>
          <w:b/>
          <w:sz w:val="22"/>
          <w:szCs w:val="22"/>
        </w:rPr>
        <w:t>Estructura</w:t>
      </w:r>
      <w:r>
        <w:rPr>
          <w:b/>
          <w:spacing w:val="80"/>
          <w:sz w:val="22"/>
          <w:szCs w:val="22"/>
        </w:rPr>
        <w:t xml:space="preserve"> </w:t>
      </w:r>
      <w:r>
        <w:rPr>
          <w:b/>
          <w:sz w:val="22"/>
          <w:szCs w:val="22"/>
        </w:rPr>
        <w:t>y</w:t>
      </w:r>
      <w:r>
        <w:rPr>
          <w:b/>
          <w:spacing w:val="40"/>
          <w:sz w:val="22"/>
          <w:szCs w:val="22"/>
        </w:rPr>
        <w:t xml:space="preserve"> </w:t>
      </w:r>
      <w:r>
        <w:rPr>
          <w:b/>
          <w:sz w:val="22"/>
          <w:szCs w:val="22"/>
        </w:rPr>
        <w:t>contenidos</w:t>
      </w:r>
      <w:r>
        <w:rPr>
          <w:b/>
          <w:spacing w:val="80"/>
          <w:sz w:val="22"/>
          <w:szCs w:val="22"/>
        </w:rPr>
        <w:t xml:space="preserve"> </w:t>
      </w:r>
      <w:r>
        <w:rPr>
          <w:b/>
          <w:sz w:val="22"/>
          <w:szCs w:val="22"/>
        </w:rPr>
        <w:t>de</w:t>
      </w:r>
      <w:r>
        <w:rPr>
          <w:b/>
          <w:spacing w:val="80"/>
          <w:sz w:val="22"/>
          <w:szCs w:val="22"/>
        </w:rPr>
        <w:t xml:space="preserve"> </w:t>
      </w:r>
      <w:r>
        <w:rPr>
          <w:b/>
          <w:sz w:val="22"/>
          <w:szCs w:val="22"/>
        </w:rPr>
        <w:t>la</w:t>
      </w:r>
      <w:r>
        <w:rPr>
          <w:b/>
          <w:spacing w:val="80"/>
          <w:sz w:val="22"/>
          <w:szCs w:val="22"/>
        </w:rPr>
        <w:t xml:space="preserve"> </w:t>
      </w:r>
      <w:r>
        <w:rPr>
          <w:b/>
          <w:i/>
          <w:sz w:val="22"/>
          <w:szCs w:val="22"/>
        </w:rPr>
        <w:t>Capacitación</w:t>
      </w:r>
      <w:r>
        <w:rPr>
          <w:b/>
          <w:i/>
          <w:spacing w:val="80"/>
          <w:sz w:val="22"/>
          <w:szCs w:val="22"/>
        </w:rPr>
        <w:t xml:space="preserve"> </w:t>
      </w:r>
      <w:r>
        <w:rPr>
          <w:b/>
          <w:i/>
          <w:sz w:val="22"/>
          <w:szCs w:val="22"/>
        </w:rPr>
        <w:t>en</w:t>
      </w:r>
      <w:r>
        <w:rPr>
          <w:b/>
          <w:i/>
          <w:spacing w:val="80"/>
          <w:sz w:val="22"/>
          <w:szCs w:val="22"/>
        </w:rPr>
        <w:t xml:space="preserve"> </w:t>
      </w:r>
      <w:r>
        <w:rPr>
          <w:b/>
          <w:i/>
          <w:sz w:val="22"/>
          <w:szCs w:val="22"/>
        </w:rPr>
        <w:t>herramientas</w:t>
      </w:r>
      <w:r>
        <w:rPr>
          <w:b/>
          <w:i/>
          <w:spacing w:val="40"/>
          <w:sz w:val="22"/>
          <w:szCs w:val="22"/>
        </w:rPr>
        <w:t xml:space="preserve"> </w:t>
      </w:r>
      <w:r>
        <w:rPr>
          <w:b/>
          <w:i/>
          <w:sz w:val="22"/>
          <w:szCs w:val="22"/>
        </w:rPr>
        <w:t>de</w:t>
      </w:r>
      <w:r>
        <w:rPr>
          <w:b/>
          <w:i/>
          <w:spacing w:val="40"/>
          <w:sz w:val="22"/>
          <w:szCs w:val="22"/>
        </w:rPr>
        <w:t xml:space="preserve"> </w:t>
      </w:r>
      <w:r>
        <w:rPr>
          <w:b/>
          <w:i/>
          <w:sz w:val="22"/>
          <w:szCs w:val="22"/>
        </w:rPr>
        <w:t>Comunicación</w:t>
      </w:r>
      <w:r>
        <w:rPr>
          <w:b/>
          <w:i/>
          <w:spacing w:val="65"/>
          <w:sz w:val="22"/>
          <w:szCs w:val="22"/>
        </w:rPr>
        <w:t xml:space="preserve"> </w:t>
      </w:r>
      <w:r>
        <w:rPr>
          <w:b/>
          <w:sz w:val="22"/>
          <w:szCs w:val="22"/>
        </w:rPr>
        <w:t>para</w:t>
      </w:r>
      <w:r>
        <w:rPr>
          <w:b/>
          <w:spacing w:val="40"/>
          <w:sz w:val="22"/>
          <w:szCs w:val="22"/>
        </w:rPr>
        <w:t xml:space="preserve"> </w:t>
      </w:r>
      <w:r>
        <w:rPr>
          <w:b/>
          <w:sz w:val="22"/>
          <w:szCs w:val="22"/>
        </w:rPr>
        <w:t>los miembros de la Unidad de Comunicación de la Procuraduría General del Estado</w:t>
      </w:r>
      <w:r>
        <w:rPr>
          <w:b/>
          <w:color w:val="222222"/>
          <w:sz w:val="22"/>
          <w:szCs w:val="22"/>
        </w:rPr>
        <w:t>:</w:t>
      </w:r>
    </w:p>
    <w:p>
      <w:pPr>
        <w:pStyle w:val="Textoindependiente"/>
        <w:rPr>
          <w:rFonts w:ascii="Times New Roman" w:hAnsi="Times New Roman" w:cs="Times New Roman"/>
          <w:b/>
          <w:sz w:val="22"/>
          <w:szCs w:val="2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2406"/>
        <w:gridCol w:w="6239"/>
      </w:tblGrid>
      <w:tr>
        <w:trPr>
          <w:trHeight w:val="268"/>
        </w:trPr>
        <w:tc>
          <w:tcPr>
            <w:tcW w:w="430" w:type="dxa"/>
          </w:tcPr>
          <w:p>
            <w:pPr>
              <w:pStyle w:val="TableParagraph"/>
              <w:ind w:left="40" w:right="26"/>
              <w:jc w:val="center"/>
              <w:rPr>
                <w:rFonts w:ascii="Times New Roman" w:hAnsi="Times New Roman" w:cs="Times New Roman"/>
                <w:b/>
              </w:rPr>
            </w:pPr>
            <w:r>
              <w:rPr>
                <w:rFonts w:ascii="Times New Roman" w:hAnsi="Times New Roman" w:cs="Times New Roman"/>
                <w:b/>
                <w:spacing w:val="-5"/>
              </w:rPr>
              <w:t>No.</w:t>
            </w:r>
          </w:p>
        </w:tc>
        <w:tc>
          <w:tcPr>
            <w:tcW w:w="2406" w:type="dxa"/>
          </w:tcPr>
          <w:p>
            <w:pPr>
              <w:pStyle w:val="TableParagraph"/>
              <w:ind w:left="136"/>
              <w:rPr>
                <w:rFonts w:ascii="Times New Roman" w:hAnsi="Times New Roman" w:cs="Times New Roman"/>
                <w:b/>
              </w:rPr>
            </w:pPr>
            <w:r>
              <w:rPr>
                <w:rFonts w:ascii="Times New Roman" w:hAnsi="Times New Roman" w:cs="Times New Roman"/>
                <w:b/>
              </w:rPr>
              <w:t>Nombre</w:t>
            </w:r>
            <w:r>
              <w:rPr>
                <w:rFonts w:ascii="Times New Roman" w:hAnsi="Times New Roman" w:cs="Times New Roman"/>
                <w:b/>
                <w:spacing w:val="-7"/>
              </w:rPr>
              <w:t xml:space="preserve"> </w:t>
            </w:r>
            <w:r>
              <w:rPr>
                <w:rFonts w:ascii="Times New Roman" w:hAnsi="Times New Roman" w:cs="Times New Roman"/>
                <w:b/>
              </w:rPr>
              <w:t>de</w:t>
            </w:r>
            <w:r>
              <w:rPr>
                <w:rFonts w:ascii="Times New Roman" w:hAnsi="Times New Roman" w:cs="Times New Roman"/>
                <w:b/>
                <w:spacing w:val="-7"/>
              </w:rPr>
              <w:t xml:space="preserve"> </w:t>
            </w:r>
            <w:r>
              <w:rPr>
                <w:rFonts w:ascii="Times New Roman" w:hAnsi="Times New Roman" w:cs="Times New Roman"/>
                <w:b/>
              </w:rPr>
              <w:t>la</w:t>
            </w:r>
            <w:r>
              <w:rPr>
                <w:rFonts w:ascii="Times New Roman" w:hAnsi="Times New Roman" w:cs="Times New Roman"/>
                <w:b/>
                <w:spacing w:val="-9"/>
              </w:rPr>
              <w:t xml:space="preserve"> </w:t>
            </w:r>
            <w:r>
              <w:rPr>
                <w:rFonts w:ascii="Times New Roman" w:hAnsi="Times New Roman" w:cs="Times New Roman"/>
                <w:b/>
                <w:spacing w:val="-2"/>
              </w:rPr>
              <w:t>actividad</w:t>
            </w:r>
          </w:p>
        </w:tc>
        <w:tc>
          <w:tcPr>
            <w:tcW w:w="6239" w:type="dxa"/>
          </w:tcPr>
          <w:p>
            <w:pPr>
              <w:pStyle w:val="TableParagraph"/>
              <w:ind w:left="680"/>
              <w:rPr>
                <w:rFonts w:ascii="Times New Roman" w:hAnsi="Times New Roman" w:cs="Times New Roman"/>
                <w:b/>
              </w:rPr>
            </w:pPr>
            <w:r>
              <w:rPr>
                <w:rFonts w:ascii="Times New Roman" w:hAnsi="Times New Roman" w:cs="Times New Roman"/>
                <w:b/>
                <w:spacing w:val="-2"/>
              </w:rPr>
              <w:t>Especificaciones</w:t>
            </w:r>
            <w:r>
              <w:rPr>
                <w:rFonts w:ascii="Times New Roman" w:hAnsi="Times New Roman" w:cs="Times New Roman"/>
                <w:b/>
                <w:spacing w:val="1"/>
              </w:rPr>
              <w:t xml:space="preserve"> </w:t>
            </w:r>
            <w:r>
              <w:rPr>
                <w:rFonts w:ascii="Times New Roman" w:hAnsi="Times New Roman" w:cs="Times New Roman"/>
                <w:b/>
                <w:spacing w:val="-2"/>
              </w:rPr>
              <w:t>Técnicas</w:t>
            </w:r>
            <w:r>
              <w:rPr>
                <w:rFonts w:ascii="Times New Roman" w:hAnsi="Times New Roman" w:cs="Times New Roman"/>
                <w:b/>
              </w:rPr>
              <w:t xml:space="preserve"> </w:t>
            </w:r>
            <w:r>
              <w:rPr>
                <w:rFonts w:ascii="Times New Roman" w:hAnsi="Times New Roman" w:cs="Times New Roman"/>
                <w:b/>
                <w:spacing w:val="-2"/>
              </w:rPr>
              <w:t>y condiciones</w:t>
            </w:r>
            <w:r>
              <w:rPr>
                <w:rFonts w:ascii="Times New Roman" w:hAnsi="Times New Roman" w:cs="Times New Roman"/>
                <w:b/>
                <w:spacing w:val="4"/>
              </w:rPr>
              <w:t xml:space="preserve"> </w:t>
            </w:r>
            <w:r>
              <w:rPr>
                <w:rFonts w:ascii="Times New Roman" w:hAnsi="Times New Roman" w:cs="Times New Roman"/>
                <w:b/>
                <w:spacing w:val="-2"/>
              </w:rPr>
              <w:t>de ejecución</w:t>
            </w:r>
          </w:p>
        </w:tc>
      </w:tr>
      <w:tr>
        <w:trPr>
          <w:trHeight w:val="268"/>
        </w:trPr>
        <w:tc>
          <w:tcPr>
            <w:tcW w:w="430" w:type="dxa"/>
          </w:tcPr>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ind w:left="14" w:right="84"/>
              <w:jc w:val="center"/>
              <w:rPr>
                <w:rFonts w:ascii="Times New Roman" w:hAnsi="Times New Roman" w:cs="Times New Roman"/>
                <w:b/>
              </w:rPr>
            </w:pPr>
            <w:r>
              <w:rPr>
                <w:rFonts w:ascii="Times New Roman" w:hAnsi="Times New Roman" w:cs="Times New Roman"/>
                <w:b/>
                <w:spacing w:val="-10"/>
              </w:rPr>
              <w:t>1</w:t>
            </w:r>
          </w:p>
        </w:tc>
        <w:tc>
          <w:tcPr>
            <w:tcW w:w="2406" w:type="dxa"/>
          </w:tcPr>
          <w:p>
            <w:pPr>
              <w:pStyle w:val="TableParagraph"/>
              <w:tabs>
                <w:tab w:val="left" w:pos="625"/>
                <w:tab w:val="left" w:pos="953"/>
                <w:tab w:val="left" w:pos="1066"/>
                <w:tab w:val="left" w:pos="1321"/>
                <w:tab w:val="left" w:pos="1594"/>
                <w:tab w:val="left" w:pos="1723"/>
                <w:tab w:val="left" w:pos="2027"/>
              </w:tabs>
              <w:ind w:left="136" w:right="129"/>
              <w:rPr>
                <w:rFonts w:ascii="Times New Roman" w:hAnsi="Times New Roman" w:cs="Times New Roman"/>
              </w:rPr>
            </w:pPr>
            <w:r>
              <w:rPr>
                <w:rFonts w:ascii="Times New Roman" w:hAnsi="Times New Roman" w:cs="Times New Roman"/>
                <w:spacing w:val="-6"/>
              </w:rPr>
              <w:lastRenderedPageBreak/>
              <w:t>Un</w:t>
            </w:r>
            <w:r>
              <w:rPr>
                <w:rFonts w:ascii="Times New Roman" w:hAnsi="Times New Roman" w:cs="Times New Roman"/>
              </w:rPr>
              <w:tab/>
            </w:r>
            <w:r>
              <w:rPr>
                <w:rFonts w:ascii="Times New Roman" w:hAnsi="Times New Roman" w:cs="Times New Roman"/>
                <w:spacing w:val="-2"/>
              </w:rPr>
              <w:t>taller</w:t>
            </w:r>
            <w:r>
              <w:rPr>
                <w:rFonts w:ascii="Times New Roman" w:hAnsi="Times New Roman" w:cs="Times New Roman"/>
              </w:rPr>
              <w:tab/>
            </w:r>
            <w:r>
              <w:rPr>
                <w:rFonts w:ascii="Times New Roman" w:hAnsi="Times New Roman" w:cs="Times New Roman"/>
                <w:spacing w:val="-2"/>
              </w:rPr>
              <w:t>presencial (curso</w:t>
            </w:r>
            <w:r>
              <w:rPr>
                <w:rFonts w:ascii="Times New Roman" w:hAnsi="Times New Roman" w:cs="Times New Roman"/>
              </w:rPr>
              <w:tab/>
            </w:r>
            <w:r>
              <w:rPr>
                <w:rFonts w:ascii="Times New Roman" w:hAnsi="Times New Roman" w:cs="Times New Roman"/>
                <w:spacing w:val="-2"/>
              </w:rPr>
              <w:t>intensivo</w:t>
            </w:r>
            <w:r>
              <w:rPr>
                <w:rFonts w:ascii="Times New Roman" w:hAnsi="Times New Roman" w:cs="Times New Roman"/>
              </w:rPr>
              <w:tab/>
            </w:r>
            <w:r>
              <w:rPr>
                <w:rFonts w:ascii="Times New Roman" w:hAnsi="Times New Roman" w:cs="Times New Roman"/>
                <w:spacing w:val="-47"/>
              </w:rPr>
              <w:t xml:space="preserve"> </w:t>
            </w:r>
            <w:r>
              <w:rPr>
                <w:rFonts w:ascii="Times New Roman" w:hAnsi="Times New Roman" w:cs="Times New Roman"/>
                <w:spacing w:val="-6"/>
              </w:rPr>
              <w:t xml:space="preserve">de </w:t>
            </w:r>
            <w:r>
              <w:rPr>
                <w:rFonts w:ascii="Times New Roman" w:hAnsi="Times New Roman" w:cs="Times New Roman"/>
                <w:spacing w:val="-2"/>
              </w:rPr>
              <w:t>Comunicación Estratégica</w:t>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
              </w:rPr>
              <w:t xml:space="preserve">Digital) </w:t>
            </w:r>
            <w:r>
              <w:rPr>
                <w:rFonts w:ascii="Times New Roman" w:hAnsi="Times New Roman" w:cs="Times New Roman"/>
                <w:spacing w:val="-2"/>
              </w:rPr>
              <w:lastRenderedPageBreak/>
              <w:t>dirigido</w:t>
            </w:r>
            <w:r>
              <w:rPr>
                <w:rFonts w:ascii="Times New Roman" w:hAnsi="Times New Roman" w:cs="Times New Roman"/>
                <w:spacing w:val="-11"/>
              </w:rPr>
              <w:t xml:space="preserve"> </w:t>
            </w:r>
            <w:r>
              <w:rPr>
                <w:rFonts w:ascii="Times New Roman" w:hAnsi="Times New Roman" w:cs="Times New Roman"/>
                <w:spacing w:val="-2"/>
              </w:rPr>
              <w:t>a</w:t>
            </w:r>
            <w:r>
              <w:rPr>
                <w:rFonts w:ascii="Times New Roman" w:hAnsi="Times New Roman" w:cs="Times New Roman"/>
                <w:spacing w:val="-8"/>
              </w:rPr>
              <w:t xml:space="preserve"> </w:t>
            </w:r>
            <w:r>
              <w:rPr>
                <w:rFonts w:ascii="Times New Roman" w:hAnsi="Times New Roman" w:cs="Times New Roman"/>
                <w:spacing w:val="-2"/>
              </w:rPr>
              <w:t>los</w:t>
            </w:r>
            <w:r>
              <w:rPr>
                <w:rFonts w:ascii="Times New Roman" w:hAnsi="Times New Roman" w:cs="Times New Roman"/>
                <w:spacing w:val="-9"/>
              </w:rPr>
              <w:t xml:space="preserve"> </w:t>
            </w:r>
            <w:r>
              <w:rPr>
                <w:rFonts w:ascii="Times New Roman" w:hAnsi="Times New Roman" w:cs="Times New Roman"/>
                <w:spacing w:val="-2"/>
              </w:rPr>
              <w:t xml:space="preserve">miembros </w:t>
            </w:r>
            <w:r>
              <w:rPr>
                <w:rFonts w:ascii="Times New Roman" w:hAnsi="Times New Roman" w:cs="Times New Roman"/>
                <w:spacing w:val="-6"/>
              </w:rPr>
              <w:t>de</w:t>
            </w:r>
            <w:r>
              <w:rPr>
                <w:rFonts w:ascii="Times New Roman" w:hAnsi="Times New Roman" w:cs="Times New Roman"/>
              </w:rPr>
              <w:tab/>
            </w:r>
            <w:r>
              <w:rPr>
                <w:rFonts w:ascii="Times New Roman" w:hAnsi="Times New Roman" w:cs="Times New Roman"/>
                <w:spacing w:val="-24"/>
              </w:rPr>
              <w:t xml:space="preserve"> </w:t>
            </w:r>
            <w:r>
              <w:rPr>
                <w:rFonts w:ascii="Times New Roman" w:hAnsi="Times New Roman" w:cs="Times New Roman"/>
              </w:rPr>
              <w:t>la</w:t>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30"/>
              </w:rPr>
              <w:t xml:space="preserve"> </w:t>
            </w:r>
            <w:r>
              <w:rPr>
                <w:rFonts w:ascii="Times New Roman" w:hAnsi="Times New Roman" w:cs="Times New Roman"/>
              </w:rPr>
              <w:t>Unidad</w:t>
            </w:r>
            <w:r>
              <w:rPr>
                <w:rFonts w:ascii="Times New Roman" w:hAnsi="Times New Roman" w:cs="Times New Roman"/>
              </w:rPr>
              <w:tab/>
            </w:r>
            <w:r>
              <w:rPr>
                <w:rFonts w:ascii="Times New Roman" w:hAnsi="Times New Roman" w:cs="Times New Roman"/>
                <w:spacing w:val="-6"/>
              </w:rPr>
              <w:t xml:space="preserve">de </w:t>
            </w:r>
            <w:r>
              <w:rPr>
                <w:rFonts w:ascii="Times New Roman" w:hAnsi="Times New Roman" w:cs="Times New Roman"/>
                <w:spacing w:val="-2"/>
              </w:rPr>
              <w:t>Comunicación</w:t>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
              </w:rPr>
              <w:t xml:space="preserve">Social </w:t>
            </w:r>
            <w:r>
              <w:rPr>
                <w:rFonts w:ascii="Times New Roman" w:hAnsi="Times New Roman" w:cs="Times New Roman"/>
                <w:spacing w:val="-6"/>
              </w:rPr>
              <w:t>de</w:t>
            </w:r>
            <w:r>
              <w:rPr>
                <w:rFonts w:ascii="Times New Roman" w:hAnsi="Times New Roman" w:cs="Times New Roman"/>
              </w:rPr>
              <w:tab/>
            </w:r>
            <w:r>
              <w:rPr>
                <w:rFonts w:ascii="Times New Roman" w:hAnsi="Times New Roman" w:cs="Times New Roman"/>
                <w:spacing w:val="-34"/>
              </w:rPr>
              <w:t xml:space="preserve"> </w:t>
            </w:r>
            <w:r>
              <w:rPr>
                <w:rFonts w:ascii="Times New Roman" w:hAnsi="Times New Roman" w:cs="Times New Roman"/>
              </w:rPr>
              <w:t>la</w:t>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
              </w:rPr>
              <w:t xml:space="preserve">Procuraduría </w:t>
            </w:r>
            <w:r>
              <w:rPr>
                <w:rFonts w:ascii="Times New Roman" w:hAnsi="Times New Roman" w:cs="Times New Roman"/>
              </w:rPr>
              <w:t>General</w:t>
            </w:r>
            <w:r>
              <w:rPr>
                <w:rFonts w:ascii="Times New Roman" w:hAnsi="Times New Roman" w:cs="Times New Roman"/>
                <w:spacing w:val="31"/>
              </w:rPr>
              <w:t xml:space="preserve"> </w:t>
            </w:r>
            <w:r>
              <w:rPr>
                <w:rFonts w:ascii="Times New Roman" w:hAnsi="Times New Roman" w:cs="Times New Roman"/>
              </w:rPr>
              <w:t>del</w:t>
            </w:r>
            <w:r>
              <w:rPr>
                <w:rFonts w:ascii="Times New Roman" w:hAnsi="Times New Roman" w:cs="Times New Roman"/>
                <w:spacing w:val="29"/>
              </w:rPr>
              <w:t xml:space="preserve"> </w:t>
            </w:r>
            <w:r>
              <w:rPr>
                <w:rFonts w:ascii="Times New Roman" w:hAnsi="Times New Roman" w:cs="Times New Roman"/>
              </w:rPr>
              <w:t>Estado,</w:t>
            </w:r>
            <w:r>
              <w:rPr>
                <w:rFonts w:ascii="Times New Roman" w:hAnsi="Times New Roman" w:cs="Times New Roman"/>
                <w:spacing w:val="32"/>
              </w:rPr>
              <w:t xml:space="preserve"> </w:t>
            </w:r>
            <w:r>
              <w:rPr>
                <w:rFonts w:ascii="Times New Roman" w:hAnsi="Times New Roman" w:cs="Times New Roman"/>
              </w:rPr>
              <w:t>al inicio del curso.</w:t>
            </w:r>
          </w:p>
          <w:p>
            <w:pPr>
              <w:pStyle w:val="TableParagraph"/>
              <w:tabs>
                <w:tab w:val="left" w:pos="884"/>
                <w:tab w:val="left" w:pos="2141"/>
              </w:tabs>
              <w:ind w:left="136" w:right="131"/>
              <w:rPr>
                <w:rFonts w:ascii="Times New Roman" w:hAnsi="Times New Roman" w:cs="Times New Roman"/>
              </w:rPr>
            </w:pPr>
            <w:r>
              <w:rPr>
                <w:rFonts w:ascii="Times New Roman" w:hAnsi="Times New Roman" w:cs="Times New Roman"/>
                <w:spacing w:val="-2"/>
              </w:rPr>
              <w:t>Clase</w:t>
            </w:r>
            <w:r>
              <w:rPr>
                <w:rFonts w:ascii="Times New Roman" w:hAnsi="Times New Roman" w:cs="Times New Roman"/>
              </w:rPr>
              <w:tab/>
            </w:r>
            <w:r>
              <w:rPr>
                <w:rFonts w:ascii="Times New Roman" w:hAnsi="Times New Roman" w:cs="Times New Roman"/>
                <w:spacing w:val="-2"/>
              </w:rPr>
              <w:t>presencial:</w:t>
            </w:r>
            <w:r>
              <w:rPr>
                <w:rFonts w:ascii="Times New Roman" w:hAnsi="Times New Roman" w:cs="Times New Roman"/>
              </w:rPr>
              <w:tab/>
            </w:r>
            <w:r>
              <w:rPr>
                <w:rFonts w:ascii="Times New Roman" w:hAnsi="Times New Roman" w:cs="Times New Roman"/>
                <w:spacing w:val="-10"/>
              </w:rPr>
              <w:t>8</w:t>
            </w:r>
            <w:r>
              <w:rPr>
                <w:rFonts w:ascii="Times New Roman" w:hAnsi="Times New Roman" w:cs="Times New Roman"/>
              </w:rPr>
              <w:t xml:space="preserve"> horas académicas</w:t>
            </w:r>
          </w:p>
        </w:tc>
        <w:tc>
          <w:tcPr>
            <w:tcW w:w="6239" w:type="dxa"/>
          </w:tcPr>
          <w:p>
            <w:pPr>
              <w:pStyle w:val="TableParagraph"/>
              <w:ind w:left="152" w:right="150"/>
              <w:jc w:val="both"/>
              <w:rPr>
                <w:rFonts w:ascii="Times New Roman" w:hAnsi="Times New Roman" w:cs="Times New Roman"/>
              </w:rPr>
            </w:pPr>
            <w:r>
              <w:rPr>
                <w:rFonts w:ascii="Times New Roman" w:hAnsi="Times New Roman" w:cs="Times New Roman"/>
              </w:rPr>
              <w:lastRenderedPageBreak/>
              <w:t>Servicio</w:t>
            </w:r>
            <w:r>
              <w:rPr>
                <w:rFonts w:ascii="Times New Roman" w:hAnsi="Times New Roman" w:cs="Times New Roman"/>
                <w:spacing w:val="-11"/>
              </w:rPr>
              <w:t xml:space="preserve"> </w:t>
            </w:r>
            <w:r>
              <w:rPr>
                <w:rFonts w:ascii="Times New Roman" w:hAnsi="Times New Roman" w:cs="Times New Roman"/>
              </w:rPr>
              <w:t>de</w:t>
            </w:r>
            <w:r>
              <w:rPr>
                <w:rFonts w:ascii="Times New Roman" w:hAnsi="Times New Roman" w:cs="Times New Roman"/>
                <w:spacing w:val="-11"/>
              </w:rPr>
              <w:t xml:space="preserve"> </w:t>
            </w:r>
            <w:r>
              <w:rPr>
                <w:rFonts w:ascii="Times New Roman" w:hAnsi="Times New Roman" w:cs="Times New Roman"/>
              </w:rPr>
              <w:t>capacitación</w:t>
            </w:r>
            <w:r>
              <w:rPr>
                <w:rFonts w:ascii="Times New Roman" w:hAnsi="Times New Roman" w:cs="Times New Roman"/>
                <w:spacing w:val="-8"/>
              </w:rPr>
              <w:t xml:space="preserve"> </w:t>
            </w:r>
            <w:r>
              <w:rPr>
                <w:rFonts w:ascii="Times New Roman" w:hAnsi="Times New Roman" w:cs="Times New Roman"/>
              </w:rPr>
              <w:t>presencial</w:t>
            </w:r>
            <w:r>
              <w:rPr>
                <w:rFonts w:ascii="Times New Roman" w:hAnsi="Times New Roman" w:cs="Times New Roman"/>
                <w:spacing w:val="-9"/>
              </w:rPr>
              <w:t xml:space="preserve"> </w:t>
            </w:r>
            <w:r>
              <w:rPr>
                <w:rFonts w:ascii="Times New Roman" w:hAnsi="Times New Roman" w:cs="Times New Roman"/>
              </w:rPr>
              <w:t>con</w:t>
            </w:r>
            <w:r>
              <w:rPr>
                <w:rFonts w:ascii="Times New Roman" w:hAnsi="Times New Roman" w:cs="Times New Roman"/>
                <w:spacing w:val="-10"/>
              </w:rPr>
              <w:t xml:space="preserve"> </w:t>
            </w:r>
            <w:r>
              <w:rPr>
                <w:rFonts w:ascii="Times New Roman" w:hAnsi="Times New Roman" w:cs="Times New Roman"/>
              </w:rPr>
              <w:t>una</w:t>
            </w:r>
            <w:r>
              <w:rPr>
                <w:rFonts w:ascii="Times New Roman" w:hAnsi="Times New Roman" w:cs="Times New Roman"/>
                <w:spacing w:val="-10"/>
              </w:rPr>
              <w:t xml:space="preserve"> </w:t>
            </w:r>
            <w:r>
              <w:rPr>
                <w:rFonts w:ascii="Times New Roman" w:hAnsi="Times New Roman" w:cs="Times New Roman"/>
              </w:rPr>
              <w:t>duración</w:t>
            </w:r>
            <w:r>
              <w:rPr>
                <w:rFonts w:ascii="Times New Roman" w:hAnsi="Times New Roman" w:cs="Times New Roman"/>
                <w:spacing w:val="-10"/>
              </w:rPr>
              <w:t xml:space="preserve"> </w:t>
            </w:r>
            <w:r>
              <w:rPr>
                <w:rFonts w:ascii="Times New Roman" w:hAnsi="Times New Roman" w:cs="Times New Roman"/>
              </w:rPr>
              <w:t>de</w:t>
            </w:r>
            <w:r>
              <w:rPr>
                <w:rFonts w:ascii="Times New Roman" w:hAnsi="Times New Roman" w:cs="Times New Roman"/>
                <w:spacing w:val="-8"/>
              </w:rPr>
              <w:t xml:space="preserve"> </w:t>
            </w:r>
            <w:r>
              <w:rPr>
                <w:rFonts w:ascii="Times New Roman" w:hAnsi="Times New Roman" w:cs="Times New Roman"/>
              </w:rPr>
              <w:t>ocho</w:t>
            </w:r>
            <w:r>
              <w:rPr>
                <w:rFonts w:ascii="Times New Roman" w:hAnsi="Times New Roman" w:cs="Times New Roman"/>
                <w:spacing w:val="-11"/>
              </w:rPr>
              <w:t xml:space="preserve"> </w:t>
            </w:r>
            <w:r>
              <w:rPr>
                <w:rFonts w:ascii="Times New Roman" w:hAnsi="Times New Roman" w:cs="Times New Roman"/>
              </w:rPr>
              <w:t>(8) horas académicas en “</w:t>
            </w:r>
            <w:r>
              <w:rPr>
                <w:rFonts w:ascii="Times New Roman" w:hAnsi="Times New Roman" w:cs="Times New Roman"/>
                <w:i/>
              </w:rPr>
              <w:t>Capacitación en herramientas de Comunicación”</w:t>
            </w:r>
            <w:r>
              <w:rPr>
                <w:rFonts w:ascii="Times New Roman" w:hAnsi="Times New Roman" w:cs="Times New Roman"/>
                <w:i/>
                <w:spacing w:val="-12"/>
              </w:rPr>
              <w:t xml:space="preserve"> </w:t>
            </w:r>
            <w:r>
              <w:rPr>
                <w:rFonts w:ascii="Times New Roman" w:hAnsi="Times New Roman" w:cs="Times New Roman"/>
              </w:rPr>
              <w:t>en</w:t>
            </w:r>
            <w:r>
              <w:rPr>
                <w:rFonts w:ascii="Times New Roman" w:hAnsi="Times New Roman" w:cs="Times New Roman"/>
                <w:spacing w:val="-12"/>
              </w:rPr>
              <w:t xml:space="preserve"> </w:t>
            </w:r>
            <w:r>
              <w:rPr>
                <w:rFonts w:ascii="Times New Roman" w:hAnsi="Times New Roman" w:cs="Times New Roman"/>
              </w:rPr>
              <w:t>Comunicación</w:t>
            </w:r>
            <w:r>
              <w:rPr>
                <w:rFonts w:ascii="Times New Roman" w:hAnsi="Times New Roman" w:cs="Times New Roman"/>
                <w:spacing w:val="-12"/>
              </w:rPr>
              <w:t xml:space="preserve"> </w:t>
            </w:r>
            <w:r>
              <w:rPr>
                <w:rFonts w:ascii="Times New Roman" w:hAnsi="Times New Roman" w:cs="Times New Roman"/>
              </w:rPr>
              <w:t>Estratégica</w:t>
            </w:r>
            <w:r>
              <w:rPr>
                <w:rFonts w:ascii="Times New Roman" w:hAnsi="Times New Roman" w:cs="Times New Roman"/>
                <w:spacing w:val="-12"/>
              </w:rPr>
              <w:t xml:space="preserve"> </w:t>
            </w:r>
            <w:r>
              <w:rPr>
                <w:rFonts w:ascii="Times New Roman" w:hAnsi="Times New Roman" w:cs="Times New Roman"/>
              </w:rPr>
              <w:t>Digital,</w:t>
            </w:r>
            <w:r>
              <w:rPr>
                <w:rFonts w:ascii="Times New Roman" w:hAnsi="Times New Roman" w:cs="Times New Roman"/>
                <w:spacing w:val="-12"/>
              </w:rPr>
              <w:t xml:space="preserve"> </w:t>
            </w:r>
            <w:r>
              <w:rPr>
                <w:rFonts w:ascii="Times New Roman" w:hAnsi="Times New Roman" w:cs="Times New Roman"/>
              </w:rPr>
              <w:t>dirigido</w:t>
            </w:r>
            <w:r>
              <w:rPr>
                <w:rFonts w:ascii="Times New Roman" w:hAnsi="Times New Roman" w:cs="Times New Roman"/>
                <w:spacing w:val="-11"/>
              </w:rPr>
              <w:t xml:space="preserve"> </w:t>
            </w:r>
            <w:r>
              <w:rPr>
                <w:rFonts w:ascii="Times New Roman" w:hAnsi="Times New Roman" w:cs="Times New Roman"/>
              </w:rPr>
              <w:t>a</w:t>
            </w:r>
            <w:r>
              <w:rPr>
                <w:rFonts w:ascii="Times New Roman" w:hAnsi="Times New Roman" w:cs="Times New Roman"/>
                <w:spacing w:val="-12"/>
              </w:rPr>
              <w:t xml:space="preserve"> </w:t>
            </w:r>
            <w:r>
              <w:rPr>
                <w:rFonts w:ascii="Times New Roman" w:hAnsi="Times New Roman" w:cs="Times New Roman"/>
              </w:rPr>
              <w:t>los miembros de la Unidad de Comunicación Social de la Procuraduría</w:t>
            </w:r>
            <w:r>
              <w:rPr>
                <w:rFonts w:ascii="Times New Roman" w:hAnsi="Times New Roman" w:cs="Times New Roman"/>
                <w:spacing w:val="-4"/>
              </w:rPr>
              <w:t xml:space="preserve"> </w:t>
            </w:r>
            <w:r>
              <w:rPr>
                <w:rFonts w:ascii="Times New Roman" w:hAnsi="Times New Roman" w:cs="Times New Roman"/>
              </w:rPr>
              <w:lastRenderedPageBreak/>
              <w:t>General</w:t>
            </w:r>
            <w:r>
              <w:rPr>
                <w:rFonts w:ascii="Times New Roman" w:hAnsi="Times New Roman" w:cs="Times New Roman"/>
                <w:spacing w:val="-4"/>
              </w:rPr>
              <w:t xml:space="preserve"> </w:t>
            </w:r>
            <w:r>
              <w:rPr>
                <w:rFonts w:ascii="Times New Roman" w:hAnsi="Times New Roman" w:cs="Times New Roman"/>
              </w:rPr>
              <w:t>del</w:t>
            </w:r>
            <w:r>
              <w:rPr>
                <w:rFonts w:ascii="Times New Roman" w:hAnsi="Times New Roman" w:cs="Times New Roman"/>
                <w:spacing w:val="-7"/>
              </w:rPr>
              <w:t xml:space="preserve"> </w:t>
            </w:r>
            <w:r>
              <w:rPr>
                <w:rFonts w:ascii="Times New Roman" w:hAnsi="Times New Roman" w:cs="Times New Roman"/>
              </w:rPr>
              <w:t>Estado.</w:t>
            </w:r>
            <w:r>
              <w:rPr>
                <w:rFonts w:ascii="Times New Roman" w:hAnsi="Times New Roman" w:cs="Times New Roman"/>
                <w:spacing w:val="-4"/>
              </w:rPr>
              <w:t xml:space="preserve"> </w:t>
            </w:r>
            <w:r>
              <w:rPr>
                <w:rFonts w:ascii="Times New Roman" w:hAnsi="Times New Roman" w:cs="Times New Roman"/>
              </w:rPr>
              <w:t>En</w:t>
            </w:r>
            <w:r>
              <w:rPr>
                <w:rFonts w:ascii="Times New Roman" w:hAnsi="Times New Roman" w:cs="Times New Roman"/>
                <w:spacing w:val="-4"/>
              </w:rPr>
              <w:t xml:space="preserve"> </w:t>
            </w:r>
            <w:r>
              <w:rPr>
                <w:rFonts w:ascii="Times New Roman" w:hAnsi="Times New Roman" w:cs="Times New Roman"/>
              </w:rPr>
              <w:t>este</w:t>
            </w:r>
            <w:r>
              <w:rPr>
                <w:rFonts w:ascii="Times New Roman" w:hAnsi="Times New Roman" w:cs="Times New Roman"/>
                <w:spacing w:val="-4"/>
              </w:rPr>
              <w:t xml:space="preserve"> </w:t>
            </w:r>
            <w:r>
              <w:rPr>
                <w:rFonts w:ascii="Times New Roman" w:hAnsi="Times New Roman" w:cs="Times New Roman"/>
              </w:rPr>
              <w:t>taller,</w:t>
            </w:r>
            <w:r>
              <w:rPr>
                <w:rFonts w:ascii="Times New Roman" w:hAnsi="Times New Roman" w:cs="Times New Roman"/>
                <w:spacing w:val="-7"/>
              </w:rPr>
              <w:t xml:space="preserve"> </w:t>
            </w:r>
            <w:r>
              <w:rPr>
                <w:rFonts w:ascii="Times New Roman" w:hAnsi="Times New Roman" w:cs="Times New Roman"/>
              </w:rPr>
              <w:t>se</w:t>
            </w:r>
            <w:r>
              <w:rPr>
                <w:rFonts w:ascii="Times New Roman" w:hAnsi="Times New Roman" w:cs="Times New Roman"/>
                <w:spacing w:val="-4"/>
              </w:rPr>
              <w:t xml:space="preserve"> </w:t>
            </w:r>
            <w:r>
              <w:rPr>
                <w:rFonts w:ascii="Times New Roman" w:hAnsi="Times New Roman" w:cs="Times New Roman"/>
              </w:rPr>
              <w:t>abordarán</w:t>
            </w:r>
            <w:r>
              <w:rPr>
                <w:rFonts w:ascii="Times New Roman" w:hAnsi="Times New Roman" w:cs="Times New Roman"/>
                <w:spacing w:val="-4"/>
              </w:rPr>
              <w:t xml:space="preserve"> </w:t>
            </w:r>
            <w:r>
              <w:rPr>
                <w:rFonts w:ascii="Times New Roman" w:hAnsi="Times New Roman" w:cs="Times New Roman"/>
              </w:rPr>
              <w:t>los siguientes contenidos: Comunicación gubernamental, Comunicación política, Persuasión y Publicidad en medios digitales (campañas digitales), Gestión digital estratégica, gestión de crisis y en nuevos medios.</w:t>
            </w:r>
          </w:p>
          <w:p>
            <w:pPr>
              <w:pStyle w:val="TableParagraph"/>
              <w:rPr>
                <w:rFonts w:ascii="Times New Roman" w:hAnsi="Times New Roman" w:cs="Times New Roman"/>
                <w:b/>
              </w:rPr>
            </w:pPr>
          </w:p>
          <w:p>
            <w:pPr>
              <w:pStyle w:val="TableParagraph"/>
              <w:ind w:left="152" w:right="148"/>
              <w:jc w:val="both"/>
              <w:rPr>
                <w:rFonts w:ascii="Times New Roman" w:hAnsi="Times New Roman" w:cs="Times New Roman"/>
              </w:rPr>
            </w:pPr>
            <w:r>
              <w:rPr>
                <w:rFonts w:ascii="Times New Roman" w:hAnsi="Times New Roman" w:cs="Times New Roman"/>
              </w:rPr>
              <w:t>El</w:t>
            </w:r>
            <w:r>
              <w:rPr>
                <w:rFonts w:ascii="Times New Roman" w:hAnsi="Times New Roman" w:cs="Times New Roman"/>
                <w:spacing w:val="-1"/>
              </w:rPr>
              <w:t xml:space="preserve"> </w:t>
            </w:r>
            <w:r>
              <w:rPr>
                <w:rFonts w:ascii="Times New Roman" w:hAnsi="Times New Roman" w:cs="Times New Roman"/>
              </w:rPr>
              <w:t>taller</w:t>
            </w:r>
            <w:r>
              <w:rPr>
                <w:rFonts w:ascii="Times New Roman" w:hAnsi="Times New Roman" w:cs="Times New Roman"/>
                <w:spacing w:val="-4"/>
              </w:rPr>
              <w:t xml:space="preserve"> </w:t>
            </w:r>
            <w:r>
              <w:rPr>
                <w:rFonts w:ascii="Times New Roman" w:hAnsi="Times New Roman" w:cs="Times New Roman"/>
              </w:rPr>
              <w:t>se</w:t>
            </w:r>
            <w:r>
              <w:rPr>
                <w:rFonts w:ascii="Times New Roman" w:hAnsi="Times New Roman" w:cs="Times New Roman"/>
                <w:spacing w:val="-2"/>
              </w:rPr>
              <w:t xml:space="preserve"> </w:t>
            </w:r>
            <w:r>
              <w:rPr>
                <w:rFonts w:ascii="Times New Roman" w:hAnsi="Times New Roman" w:cs="Times New Roman"/>
              </w:rPr>
              <w:t>desarrollará en el lugar que proponga el Contratista previa autorización</w:t>
            </w:r>
            <w:r>
              <w:rPr>
                <w:rFonts w:ascii="Times New Roman" w:hAnsi="Times New Roman" w:cs="Times New Roman"/>
                <w:spacing w:val="40"/>
              </w:rPr>
              <w:t xml:space="preserve"> </w:t>
            </w:r>
            <w:r>
              <w:rPr>
                <w:rFonts w:ascii="Times New Roman" w:hAnsi="Times New Roman" w:cs="Times New Roman"/>
              </w:rPr>
              <w:t>del Administrador de Contrato.</w:t>
            </w:r>
          </w:p>
        </w:tc>
      </w:tr>
      <w:tr>
        <w:trPr>
          <w:trHeight w:val="268"/>
        </w:trPr>
        <w:tc>
          <w:tcPr>
            <w:tcW w:w="430" w:type="dxa"/>
          </w:tcPr>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ind w:left="32" w:right="70"/>
              <w:jc w:val="center"/>
              <w:rPr>
                <w:rFonts w:ascii="Times New Roman" w:hAnsi="Times New Roman" w:cs="Times New Roman"/>
                <w:b/>
              </w:rPr>
            </w:pPr>
            <w:r>
              <w:rPr>
                <w:rFonts w:ascii="Times New Roman" w:hAnsi="Times New Roman" w:cs="Times New Roman"/>
                <w:b/>
                <w:spacing w:val="-10"/>
              </w:rPr>
              <w:t>2</w:t>
            </w:r>
          </w:p>
        </w:tc>
        <w:tc>
          <w:tcPr>
            <w:tcW w:w="2406" w:type="dxa"/>
          </w:tcPr>
          <w:p>
            <w:pPr>
              <w:pStyle w:val="TableParagraph"/>
              <w:tabs>
                <w:tab w:val="left" w:pos="1471"/>
                <w:tab w:val="left" w:pos="2029"/>
              </w:tabs>
              <w:ind w:left="136" w:right="129"/>
              <w:jc w:val="both"/>
              <w:rPr>
                <w:rFonts w:ascii="Times New Roman" w:hAnsi="Times New Roman" w:cs="Times New Roman"/>
              </w:rPr>
            </w:pPr>
            <w:r>
              <w:rPr>
                <w:rFonts w:ascii="Times New Roman" w:hAnsi="Times New Roman" w:cs="Times New Roman"/>
                <w:spacing w:val="-2"/>
              </w:rPr>
              <w:t>Clases</w:t>
            </w:r>
            <w:r>
              <w:rPr>
                <w:rFonts w:ascii="Times New Roman" w:hAnsi="Times New Roman" w:cs="Times New Roman"/>
              </w:rPr>
              <w:tab/>
            </w:r>
            <w:r>
              <w:rPr>
                <w:rFonts w:ascii="Times New Roman" w:hAnsi="Times New Roman" w:cs="Times New Roman"/>
                <w:spacing w:val="-2"/>
              </w:rPr>
              <w:t xml:space="preserve">virtuales </w:t>
            </w:r>
            <w:r>
              <w:rPr>
                <w:rFonts w:ascii="Times New Roman" w:hAnsi="Times New Roman" w:cs="Times New Roman"/>
              </w:rPr>
              <w:t xml:space="preserve">asincrónicas (66 horas académicas) dirigido a los miembros de la </w:t>
            </w:r>
            <w:r>
              <w:rPr>
                <w:rFonts w:ascii="Times New Roman" w:hAnsi="Times New Roman" w:cs="Times New Roman"/>
                <w:spacing w:val="-2"/>
              </w:rPr>
              <w:t>Unidad</w:t>
            </w:r>
            <w:r>
              <w:rPr>
                <w:rFonts w:ascii="Times New Roman" w:hAnsi="Times New Roman" w:cs="Times New Roman"/>
              </w:rPr>
              <w:t xml:space="preserve"> </w:t>
            </w:r>
            <w:r>
              <w:rPr>
                <w:rFonts w:ascii="Times New Roman" w:hAnsi="Times New Roman" w:cs="Times New Roman"/>
                <w:spacing w:val="-5"/>
              </w:rPr>
              <w:t xml:space="preserve">de </w:t>
            </w:r>
            <w:r>
              <w:rPr>
                <w:rFonts w:ascii="Times New Roman" w:hAnsi="Times New Roman" w:cs="Times New Roman"/>
              </w:rPr>
              <w:t>Comunicación Social de</w:t>
            </w:r>
            <w:r>
              <w:rPr>
                <w:rFonts w:ascii="Times New Roman" w:hAnsi="Times New Roman" w:cs="Times New Roman"/>
                <w:spacing w:val="61"/>
                <w:w w:val="150"/>
              </w:rPr>
              <w:t xml:space="preserve">  </w:t>
            </w:r>
            <w:r>
              <w:rPr>
                <w:rFonts w:ascii="Times New Roman" w:hAnsi="Times New Roman" w:cs="Times New Roman"/>
              </w:rPr>
              <w:t>la</w:t>
            </w:r>
            <w:r>
              <w:rPr>
                <w:rFonts w:ascii="Times New Roman" w:hAnsi="Times New Roman" w:cs="Times New Roman"/>
                <w:spacing w:val="62"/>
                <w:w w:val="150"/>
              </w:rPr>
              <w:t xml:space="preserve"> </w:t>
            </w:r>
            <w:r>
              <w:rPr>
                <w:rFonts w:ascii="Times New Roman" w:hAnsi="Times New Roman" w:cs="Times New Roman"/>
                <w:spacing w:val="-2"/>
              </w:rPr>
              <w:t xml:space="preserve">Procuraduría </w:t>
            </w:r>
            <w:r>
              <w:rPr>
                <w:rFonts w:ascii="Times New Roman" w:hAnsi="Times New Roman" w:cs="Times New Roman"/>
              </w:rPr>
              <w:t>General</w:t>
            </w:r>
            <w:r>
              <w:rPr>
                <w:rFonts w:ascii="Times New Roman" w:hAnsi="Times New Roman" w:cs="Times New Roman"/>
                <w:spacing w:val="-4"/>
              </w:rPr>
              <w:t xml:space="preserve"> </w:t>
            </w:r>
            <w:r>
              <w:rPr>
                <w:rFonts w:ascii="Times New Roman" w:hAnsi="Times New Roman" w:cs="Times New Roman"/>
              </w:rPr>
              <w:t>del</w:t>
            </w:r>
            <w:r>
              <w:rPr>
                <w:rFonts w:ascii="Times New Roman" w:hAnsi="Times New Roman" w:cs="Times New Roman"/>
                <w:spacing w:val="-1"/>
              </w:rPr>
              <w:t xml:space="preserve"> </w:t>
            </w:r>
            <w:r>
              <w:rPr>
                <w:rFonts w:ascii="Times New Roman" w:hAnsi="Times New Roman" w:cs="Times New Roman"/>
                <w:spacing w:val="-2"/>
              </w:rPr>
              <w:t>Estado.</w:t>
            </w:r>
          </w:p>
        </w:tc>
        <w:tc>
          <w:tcPr>
            <w:tcW w:w="6239" w:type="dxa"/>
          </w:tcPr>
          <w:p>
            <w:pPr>
              <w:pStyle w:val="TableParagraph"/>
              <w:ind w:left="152" w:right="146"/>
              <w:jc w:val="both"/>
              <w:rPr>
                <w:rFonts w:ascii="Times New Roman" w:hAnsi="Times New Roman" w:cs="Times New Roman"/>
              </w:rPr>
            </w:pPr>
            <w:r>
              <w:rPr>
                <w:rFonts w:ascii="Times New Roman" w:hAnsi="Times New Roman" w:cs="Times New Roman"/>
              </w:rPr>
              <w:t>Capacitación virtual de sesenta y seis (66) horas académicas asincrónicas distribuidas en 30 días calendario dirigido a los miembros de la Unidad de Comunicación Social de la Procuraduría General del Estado. En estas horas académicas, se abordarán los siguientes contenidos que incluirán ejercicios prácticos:</w:t>
            </w:r>
            <w:r>
              <w:rPr>
                <w:rFonts w:ascii="Times New Roman" w:hAnsi="Times New Roman" w:cs="Times New Roman"/>
                <w:spacing w:val="26"/>
              </w:rPr>
              <w:t xml:space="preserve"> </w:t>
            </w:r>
            <w:r>
              <w:rPr>
                <w:rFonts w:ascii="Times New Roman" w:hAnsi="Times New Roman" w:cs="Times New Roman"/>
              </w:rPr>
              <w:t>Storytelling,</w:t>
            </w:r>
            <w:r>
              <w:rPr>
                <w:rFonts w:ascii="Times New Roman" w:hAnsi="Times New Roman" w:cs="Times New Roman"/>
                <w:spacing w:val="29"/>
              </w:rPr>
              <w:t xml:space="preserve"> </w:t>
            </w:r>
            <w:r>
              <w:rPr>
                <w:rFonts w:ascii="Times New Roman" w:hAnsi="Times New Roman" w:cs="Times New Roman"/>
              </w:rPr>
              <w:t>narrativa</w:t>
            </w:r>
            <w:r>
              <w:rPr>
                <w:rFonts w:ascii="Times New Roman" w:hAnsi="Times New Roman" w:cs="Times New Roman"/>
                <w:spacing w:val="32"/>
              </w:rPr>
              <w:t xml:space="preserve"> </w:t>
            </w:r>
            <w:r>
              <w:rPr>
                <w:rFonts w:ascii="Times New Roman" w:hAnsi="Times New Roman" w:cs="Times New Roman"/>
              </w:rPr>
              <w:t>para</w:t>
            </w:r>
            <w:r>
              <w:rPr>
                <w:rFonts w:ascii="Times New Roman" w:hAnsi="Times New Roman" w:cs="Times New Roman"/>
                <w:spacing w:val="29"/>
              </w:rPr>
              <w:t xml:space="preserve"> </w:t>
            </w:r>
            <w:r>
              <w:rPr>
                <w:rFonts w:ascii="Times New Roman" w:hAnsi="Times New Roman" w:cs="Times New Roman"/>
              </w:rPr>
              <w:t>redes</w:t>
            </w:r>
            <w:r>
              <w:rPr>
                <w:rFonts w:ascii="Times New Roman" w:hAnsi="Times New Roman" w:cs="Times New Roman"/>
                <w:spacing w:val="31"/>
              </w:rPr>
              <w:t xml:space="preserve"> </w:t>
            </w:r>
            <w:r>
              <w:rPr>
                <w:rFonts w:ascii="Times New Roman" w:hAnsi="Times New Roman" w:cs="Times New Roman"/>
              </w:rPr>
              <w:t>sociales,</w:t>
            </w:r>
            <w:r>
              <w:rPr>
                <w:rFonts w:ascii="Times New Roman" w:hAnsi="Times New Roman" w:cs="Times New Roman"/>
                <w:spacing w:val="32"/>
              </w:rPr>
              <w:t xml:space="preserve"> </w:t>
            </w:r>
            <w:r>
              <w:rPr>
                <w:rFonts w:ascii="Times New Roman" w:hAnsi="Times New Roman" w:cs="Times New Roman"/>
                <w:spacing w:val="-2"/>
              </w:rPr>
              <w:t>narrativa</w:t>
            </w:r>
          </w:p>
          <w:p>
            <w:pPr>
              <w:pStyle w:val="TableParagraph"/>
              <w:ind w:left="152"/>
              <w:jc w:val="both"/>
              <w:rPr>
                <w:rFonts w:ascii="Times New Roman" w:hAnsi="Times New Roman" w:cs="Times New Roman"/>
              </w:rPr>
            </w:pPr>
            <w:r>
              <w:rPr>
                <w:rFonts w:ascii="Times New Roman" w:hAnsi="Times New Roman" w:cs="Times New Roman"/>
              </w:rPr>
              <w:t>visual,</w:t>
            </w:r>
            <w:r>
              <w:rPr>
                <w:rFonts w:ascii="Times New Roman" w:hAnsi="Times New Roman" w:cs="Times New Roman"/>
                <w:spacing w:val="13"/>
              </w:rPr>
              <w:t xml:space="preserve"> </w:t>
            </w:r>
            <w:r>
              <w:rPr>
                <w:rFonts w:ascii="Times New Roman" w:hAnsi="Times New Roman" w:cs="Times New Roman"/>
              </w:rPr>
              <w:t>aplicaciones</w:t>
            </w:r>
            <w:r>
              <w:rPr>
                <w:rFonts w:ascii="Times New Roman" w:hAnsi="Times New Roman" w:cs="Times New Roman"/>
                <w:spacing w:val="16"/>
              </w:rPr>
              <w:t xml:space="preserve"> </w:t>
            </w:r>
            <w:r>
              <w:rPr>
                <w:rFonts w:ascii="Times New Roman" w:hAnsi="Times New Roman" w:cs="Times New Roman"/>
              </w:rPr>
              <w:t>para</w:t>
            </w:r>
            <w:r>
              <w:rPr>
                <w:rFonts w:ascii="Times New Roman" w:hAnsi="Times New Roman" w:cs="Times New Roman"/>
                <w:spacing w:val="13"/>
              </w:rPr>
              <w:t xml:space="preserve"> </w:t>
            </w:r>
            <w:r>
              <w:rPr>
                <w:rFonts w:ascii="Times New Roman" w:hAnsi="Times New Roman" w:cs="Times New Roman"/>
              </w:rPr>
              <w:t>Comunicación</w:t>
            </w:r>
            <w:r>
              <w:rPr>
                <w:rFonts w:ascii="Times New Roman" w:hAnsi="Times New Roman" w:cs="Times New Roman"/>
                <w:spacing w:val="14"/>
              </w:rPr>
              <w:t xml:space="preserve"> </w:t>
            </w:r>
            <w:r>
              <w:rPr>
                <w:rFonts w:ascii="Times New Roman" w:hAnsi="Times New Roman" w:cs="Times New Roman"/>
              </w:rPr>
              <w:t>transmedia,</w:t>
            </w:r>
            <w:r>
              <w:rPr>
                <w:rFonts w:ascii="Times New Roman" w:hAnsi="Times New Roman" w:cs="Times New Roman"/>
                <w:spacing w:val="13"/>
              </w:rPr>
              <w:t xml:space="preserve"> </w:t>
            </w:r>
            <w:r>
              <w:rPr>
                <w:rFonts w:ascii="Times New Roman" w:hAnsi="Times New Roman" w:cs="Times New Roman"/>
                <w:spacing w:val="-2"/>
              </w:rPr>
              <w:t xml:space="preserve">Ecosistema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la</w:t>
            </w:r>
            <w:r>
              <w:rPr>
                <w:rFonts w:ascii="Times New Roman" w:hAnsi="Times New Roman" w:cs="Times New Roman"/>
                <w:spacing w:val="-4"/>
              </w:rPr>
              <w:t xml:space="preserve"> </w:t>
            </w:r>
            <w:r>
              <w:rPr>
                <w:rFonts w:ascii="Times New Roman" w:hAnsi="Times New Roman" w:cs="Times New Roman"/>
              </w:rPr>
              <w:t>web</w:t>
            </w:r>
            <w:r>
              <w:rPr>
                <w:rFonts w:ascii="Times New Roman" w:hAnsi="Times New Roman" w:cs="Times New Roman"/>
                <w:spacing w:val="-3"/>
              </w:rPr>
              <w:t xml:space="preserve"> </w:t>
            </w:r>
            <w:r>
              <w:rPr>
                <w:rFonts w:ascii="Times New Roman" w:hAnsi="Times New Roman" w:cs="Times New Roman"/>
              </w:rPr>
              <w:t>y</w:t>
            </w:r>
            <w:r>
              <w:rPr>
                <w:rFonts w:ascii="Times New Roman" w:hAnsi="Times New Roman" w:cs="Times New Roman"/>
                <w:spacing w:val="-3"/>
              </w:rPr>
              <w:t xml:space="preserve"> </w:t>
            </w:r>
            <w:r>
              <w:rPr>
                <w:rFonts w:ascii="Times New Roman" w:hAnsi="Times New Roman" w:cs="Times New Roman"/>
              </w:rPr>
              <w:t>gestión</w:t>
            </w:r>
            <w:r>
              <w:rPr>
                <w:rFonts w:ascii="Times New Roman" w:hAnsi="Times New Roman" w:cs="Times New Roman"/>
                <w:spacing w:val="-2"/>
              </w:rPr>
              <w:t xml:space="preserve"> </w:t>
            </w:r>
            <w:r>
              <w:rPr>
                <w:rFonts w:ascii="Times New Roman" w:hAnsi="Times New Roman" w:cs="Times New Roman"/>
              </w:rPr>
              <w:t>en</w:t>
            </w:r>
            <w:r>
              <w:rPr>
                <w:rFonts w:ascii="Times New Roman" w:hAnsi="Times New Roman" w:cs="Times New Roman"/>
                <w:spacing w:val="-1"/>
              </w:rPr>
              <w:t xml:space="preserve"> </w:t>
            </w:r>
            <w:r>
              <w:rPr>
                <w:rFonts w:ascii="Times New Roman" w:hAnsi="Times New Roman" w:cs="Times New Roman"/>
              </w:rPr>
              <w:t xml:space="preserve">nuevos </w:t>
            </w:r>
            <w:r>
              <w:rPr>
                <w:rFonts w:ascii="Times New Roman" w:hAnsi="Times New Roman" w:cs="Times New Roman"/>
                <w:spacing w:val="-2"/>
              </w:rPr>
              <w:t>medios.</w:t>
            </w:r>
          </w:p>
        </w:tc>
      </w:tr>
      <w:tr>
        <w:trPr>
          <w:trHeight w:val="268"/>
        </w:trPr>
        <w:tc>
          <w:tcPr>
            <w:tcW w:w="430" w:type="dxa"/>
          </w:tcPr>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ind w:left="30" w:right="70"/>
              <w:jc w:val="center"/>
              <w:rPr>
                <w:rFonts w:ascii="Times New Roman" w:hAnsi="Times New Roman" w:cs="Times New Roman"/>
                <w:b/>
              </w:rPr>
            </w:pPr>
            <w:r>
              <w:rPr>
                <w:rFonts w:ascii="Times New Roman" w:hAnsi="Times New Roman" w:cs="Times New Roman"/>
                <w:b/>
                <w:spacing w:val="-10"/>
              </w:rPr>
              <w:t>3</w:t>
            </w:r>
          </w:p>
        </w:tc>
        <w:tc>
          <w:tcPr>
            <w:tcW w:w="2406" w:type="dxa"/>
          </w:tcPr>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tabs>
                <w:tab w:val="left" w:pos="2029"/>
              </w:tabs>
              <w:ind w:left="136" w:right="128"/>
              <w:jc w:val="both"/>
              <w:rPr>
                <w:rFonts w:ascii="Times New Roman" w:hAnsi="Times New Roman" w:cs="Times New Roman"/>
              </w:rPr>
            </w:pPr>
            <w:r>
              <w:rPr>
                <w:rFonts w:ascii="Times New Roman" w:hAnsi="Times New Roman" w:cs="Times New Roman"/>
              </w:rPr>
              <w:t xml:space="preserve">Un taller presencial (curso intensivo de </w:t>
            </w:r>
            <w:r>
              <w:rPr>
                <w:rFonts w:ascii="Times New Roman" w:hAnsi="Times New Roman" w:cs="Times New Roman"/>
                <w:spacing w:val="-2"/>
              </w:rPr>
              <w:t>Herramientas</w:t>
            </w:r>
            <w:r>
              <w:rPr>
                <w:rFonts w:ascii="Times New Roman" w:hAnsi="Times New Roman" w:cs="Times New Roman"/>
              </w:rPr>
              <w:tab/>
            </w:r>
            <w:r>
              <w:rPr>
                <w:rFonts w:ascii="Times New Roman" w:hAnsi="Times New Roman" w:cs="Times New Roman"/>
                <w:spacing w:val="-6"/>
              </w:rPr>
              <w:t xml:space="preserve">de </w:t>
            </w:r>
            <w:r>
              <w:rPr>
                <w:rFonts w:ascii="Times New Roman" w:hAnsi="Times New Roman" w:cs="Times New Roman"/>
                <w:spacing w:val="-2"/>
              </w:rPr>
              <w:t>Comunicación)</w:t>
            </w:r>
            <w:r>
              <w:rPr>
                <w:rFonts w:ascii="Times New Roman" w:hAnsi="Times New Roman" w:cs="Times New Roman"/>
                <w:spacing w:val="-10"/>
              </w:rPr>
              <w:t xml:space="preserve"> </w:t>
            </w:r>
            <w:r>
              <w:rPr>
                <w:rFonts w:ascii="Times New Roman" w:hAnsi="Times New Roman" w:cs="Times New Roman"/>
                <w:spacing w:val="-2"/>
              </w:rPr>
              <w:t xml:space="preserve">dirigido </w:t>
            </w:r>
            <w:r>
              <w:rPr>
                <w:rFonts w:ascii="Times New Roman" w:hAnsi="Times New Roman" w:cs="Times New Roman"/>
              </w:rPr>
              <w:t xml:space="preserve">a los miembros de la </w:t>
            </w:r>
            <w:r>
              <w:rPr>
                <w:rFonts w:ascii="Times New Roman" w:hAnsi="Times New Roman" w:cs="Times New Roman"/>
                <w:spacing w:val="-2"/>
              </w:rPr>
              <w:t>Unidad</w:t>
            </w:r>
            <w:r>
              <w:rPr>
                <w:rFonts w:ascii="Times New Roman" w:hAnsi="Times New Roman" w:cs="Times New Roman"/>
              </w:rPr>
              <w:tab/>
            </w:r>
            <w:r>
              <w:rPr>
                <w:rFonts w:ascii="Times New Roman" w:hAnsi="Times New Roman" w:cs="Times New Roman"/>
                <w:spacing w:val="-5"/>
              </w:rPr>
              <w:t>de</w:t>
            </w:r>
          </w:p>
          <w:p>
            <w:pPr>
              <w:pStyle w:val="TableParagraph"/>
              <w:ind w:left="136" w:right="129"/>
              <w:jc w:val="both"/>
              <w:rPr>
                <w:rFonts w:ascii="Times New Roman" w:hAnsi="Times New Roman" w:cs="Times New Roman"/>
              </w:rPr>
            </w:pPr>
            <w:r>
              <w:rPr>
                <w:rFonts w:ascii="Times New Roman" w:hAnsi="Times New Roman" w:cs="Times New Roman"/>
              </w:rPr>
              <w:t xml:space="preserve">Comunicación Social de la Procuraduría General del Estado, antes de finalizar el </w:t>
            </w:r>
            <w:r>
              <w:rPr>
                <w:rFonts w:ascii="Times New Roman" w:hAnsi="Times New Roman" w:cs="Times New Roman"/>
                <w:spacing w:val="-2"/>
              </w:rPr>
              <w:t>curso.</w:t>
            </w:r>
          </w:p>
          <w:p>
            <w:pPr>
              <w:pStyle w:val="TableParagraph"/>
              <w:ind w:left="136" w:right="557"/>
              <w:rPr>
                <w:rFonts w:ascii="Times New Roman" w:hAnsi="Times New Roman" w:cs="Times New Roman"/>
              </w:rPr>
            </w:pPr>
            <w:r>
              <w:rPr>
                <w:rFonts w:ascii="Times New Roman" w:hAnsi="Times New Roman" w:cs="Times New Roman"/>
              </w:rPr>
              <w:t>Clase</w:t>
            </w:r>
            <w:r>
              <w:rPr>
                <w:rFonts w:ascii="Times New Roman" w:hAnsi="Times New Roman" w:cs="Times New Roman"/>
                <w:spacing w:val="-12"/>
              </w:rPr>
              <w:t xml:space="preserve"> </w:t>
            </w:r>
            <w:r>
              <w:rPr>
                <w:rFonts w:ascii="Times New Roman" w:hAnsi="Times New Roman" w:cs="Times New Roman"/>
              </w:rPr>
              <w:t>presencial:</w:t>
            </w:r>
            <w:r>
              <w:rPr>
                <w:rFonts w:ascii="Times New Roman" w:hAnsi="Times New Roman" w:cs="Times New Roman"/>
                <w:spacing w:val="-12"/>
              </w:rPr>
              <w:t xml:space="preserve"> </w:t>
            </w:r>
            <w:r>
              <w:rPr>
                <w:rFonts w:ascii="Times New Roman" w:hAnsi="Times New Roman" w:cs="Times New Roman"/>
              </w:rPr>
              <w:t>8 horas académicas</w:t>
            </w:r>
          </w:p>
        </w:tc>
        <w:tc>
          <w:tcPr>
            <w:tcW w:w="6239" w:type="dxa"/>
          </w:tcPr>
          <w:p>
            <w:pPr>
              <w:pStyle w:val="TableParagraph"/>
              <w:ind w:left="152" w:right="148"/>
              <w:jc w:val="both"/>
              <w:rPr>
                <w:rFonts w:ascii="Times New Roman" w:hAnsi="Times New Roman" w:cs="Times New Roman"/>
              </w:rPr>
            </w:pPr>
            <w:r>
              <w:rPr>
                <w:rFonts w:ascii="Times New Roman" w:hAnsi="Times New Roman" w:cs="Times New Roman"/>
              </w:rPr>
              <w:t>Servicio</w:t>
            </w:r>
            <w:r>
              <w:rPr>
                <w:rFonts w:ascii="Times New Roman" w:hAnsi="Times New Roman" w:cs="Times New Roman"/>
                <w:spacing w:val="-11"/>
              </w:rPr>
              <w:t xml:space="preserve"> </w:t>
            </w:r>
            <w:r>
              <w:rPr>
                <w:rFonts w:ascii="Times New Roman" w:hAnsi="Times New Roman" w:cs="Times New Roman"/>
              </w:rPr>
              <w:t>de</w:t>
            </w:r>
            <w:r>
              <w:rPr>
                <w:rFonts w:ascii="Times New Roman" w:hAnsi="Times New Roman" w:cs="Times New Roman"/>
                <w:spacing w:val="-11"/>
              </w:rPr>
              <w:t xml:space="preserve"> </w:t>
            </w:r>
            <w:r>
              <w:rPr>
                <w:rFonts w:ascii="Times New Roman" w:hAnsi="Times New Roman" w:cs="Times New Roman"/>
              </w:rPr>
              <w:t>capacitación</w:t>
            </w:r>
            <w:r>
              <w:rPr>
                <w:rFonts w:ascii="Times New Roman" w:hAnsi="Times New Roman" w:cs="Times New Roman"/>
                <w:spacing w:val="-8"/>
              </w:rPr>
              <w:t xml:space="preserve"> </w:t>
            </w:r>
            <w:r>
              <w:rPr>
                <w:rFonts w:ascii="Times New Roman" w:hAnsi="Times New Roman" w:cs="Times New Roman"/>
              </w:rPr>
              <w:t>presencial</w:t>
            </w:r>
            <w:r>
              <w:rPr>
                <w:rFonts w:ascii="Times New Roman" w:hAnsi="Times New Roman" w:cs="Times New Roman"/>
                <w:spacing w:val="-9"/>
              </w:rPr>
              <w:t xml:space="preserve"> </w:t>
            </w:r>
            <w:r>
              <w:rPr>
                <w:rFonts w:ascii="Times New Roman" w:hAnsi="Times New Roman" w:cs="Times New Roman"/>
              </w:rPr>
              <w:t>con</w:t>
            </w:r>
            <w:r>
              <w:rPr>
                <w:rFonts w:ascii="Times New Roman" w:hAnsi="Times New Roman" w:cs="Times New Roman"/>
                <w:spacing w:val="-10"/>
              </w:rPr>
              <w:t xml:space="preserve"> </w:t>
            </w:r>
            <w:r>
              <w:rPr>
                <w:rFonts w:ascii="Times New Roman" w:hAnsi="Times New Roman" w:cs="Times New Roman"/>
              </w:rPr>
              <w:t>una</w:t>
            </w:r>
            <w:r>
              <w:rPr>
                <w:rFonts w:ascii="Times New Roman" w:hAnsi="Times New Roman" w:cs="Times New Roman"/>
                <w:spacing w:val="-10"/>
              </w:rPr>
              <w:t xml:space="preserve"> </w:t>
            </w:r>
            <w:r>
              <w:rPr>
                <w:rFonts w:ascii="Times New Roman" w:hAnsi="Times New Roman" w:cs="Times New Roman"/>
              </w:rPr>
              <w:t>duración</w:t>
            </w:r>
            <w:r>
              <w:rPr>
                <w:rFonts w:ascii="Times New Roman" w:hAnsi="Times New Roman" w:cs="Times New Roman"/>
                <w:spacing w:val="-10"/>
              </w:rPr>
              <w:t xml:space="preserve"> </w:t>
            </w:r>
            <w:r>
              <w:rPr>
                <w:rFonts w:ascii="Times New Roman" w:hAnsi="Times New Roman" w:cs="Times New Roman"/>
              </w:rPr>
              <w:t>de</w:t>
            </w:r>
            <w:r>
              <w:rPr>
                <w:rFonts w:ascii="Times New Roman" w:hAnsi="Times New Roman" w:cs="Times New Roman"/>
                <w:spacing w:val="-8"/>
              </w:rPr>
              <w:t xml:space="preserve"> </w:t>
            </w:r>
            <w:r>
              <w:rPr>
                <w:rFonts w:ascii="Times New Roman" w:hAnsi="Times New Roman" w:cs="Times New Roman"/>
              </w:rPr>
              <w:t>ocho</w:t>
            </w:r>
            <w:r>
              <w:rPr>
                <w:rFonts w:ascii="Times New Roman" w:hAnsi="Times New Roman" w:cs="Times New Roman"/>
                <w:spacing w:val="-11"/>
              </w:rPr>
              <w:t xml:space="preserve"> </w:t>
            </w:r>
            <w:r>
              <w:rPr>
                <w:rFonts w:ascii="Times New Roman" w:hAnsi="Times New Roman" w:cs="Times New Roman"/>
              </w:rPr>
              <w:t xml:space="preserve">(8) horas académicas en </w:t>
            </w:r>
            <w:r>
              <w:rPr>
                <w:rFonts w:ascii="Times New Roman" w:hAnsi="Times New Roman" w:cs="Times New Roman"/>
                <w:i/>
              </w:rPr>
              <w:t xml:space="preserve">“Capacitación en herramientas de Comunicación” </w:t>
            </w:r>
            <w:r>
              <w:rPr>
                <w:rFonts w:ascii="Times New Roman" w:hAnsi="Times New Roman" w:cs="Times New Roman"/>
              </w:rPr>
              <w:t>en Herramientas de Comunicación, dirigido a los miembros de la Unidad de Comunicación Social de la Procuraduría</w:t>
            </w:r>
            <w:r>
              <w:rPr>
                <w:rFonts w:ascii="Times New Roman" w:hAnsi="Times New Roman" w:cs="Times New Roman"/>
                <w:spacing w:val="-4"/>
              </w:rPr>
              <w:t xml:space="preserve"> </w:t>
            </w:r>
            <w:r>
              <w:rPr>
                <w:rFonts w:ascii="Times New Roman" w:hAnsi="Times New Roman" w:cs="Times New Roman"/>
              </w:rPr>
              <w:t>General</w:t>
            </w:r>
            <w:r>
              <w:rPr>
                <w:rFonts w:ascii="Times New Roman" w:hAnsi="Times New Roman" w:cs="Times New Roman"/>
                <w:spacing w:val="-4"/>
              </w:rPr>
              <w:t xml:space="preserve"> </w:t>
            </w:r>
            <w:r>
              <w:rPr>
                <w:rFonts w:ascii="Times New Roman" w:hAnsi="Times New Roman" w:cs="Times New Roman"/>
              </w:rPr>
              <w:t>del</w:t>
            </w:r>
            <w:r>
              <w:rPr>
                <w:rFonts w:ascii="Times New Roman" w:hAnsi="Times New Roman" w:cs="Times New Roman"/>
                <w:spacing w:val="-6"/>
              </w:rPr>
              <w:t xml:space="preserve"> </w:t>
            </w:r>
            <w:r>
              <w:rPr>
                <w:rFonts w:ascii="Times New Roman" w:hAnsi="Times New Roman" w:cs="Times New Roman"/>
              </w:rPr>
              <w:t>Estado.</w:t>
            </w:r>
            <w:r>
              <w:rPr>
                <w:rFonts w:ascii="Times New Roman" w:hAnsi="Times New Roman" w:cs="Times New Roman"/>
                <w:spacing w:val="-4"/>
              </w:rPr>
              <w:t xml:space="preserve"> </w:t>
            </w:r>
            <w:r>
              <w:rPr>
                <w:rFonts w:ascii="Times New Roman" w:hAnsi="Times New Roman" w:cs="Times New Roman"/>
              </w:rPr>
              <w:t>En</w:t>
            </w:r>
            <w:r>
              <w:rPr>
                <w:rFonts w:ascii="Times New Roman" w:hAnsi="Times New Roman" w:cs="Times New Roman"/>
                <w:spacing w:val="-4"/>
              </w:rPr>
              <w:t xml:space="preserve"> </w:t>
            </w:r>
            <w:r>
              <w:rPr>
                <w:rFonts w:ascii="Times New Roman" w:hAnsi="Times New Roman" w:cs="Times New Roman"/>
              </w:rPr>
              <w:t>este</w:t>
            </w:r>
            <w:r>
              <w:rPr>
                <w:rFonts w:ascii="Times New Roman" w:hAnsi="Times New Roman" w:cs="Times New Roman"/>
                <w:spacing w:val="-4"/>
              </w:rPr>
              <w:t xml:space="preserve"> </w:t>
            </w:r>
            <w:r>
              <w:rPr>
                <w:rFonts w:ascii="Times New Roman" w:hAnsi="Times New Roman" w:cs="Times New Roman"/>
              </w:rPr>
              <w:t>taller,</w:t>
            </w:r>
            <w:r>
              <w:rPr>
                <w:rFonts w:ascii="Times New Roman" w:hAnsi="Times New Roman" w:cs="Times New Roman"/>
                <w:spacing w:val="-6"/>
              </w:rPr>
              <w:t xml:space="preserve"> </w:t>
            </w:r>
            <w:r>
              <w:rPr>
                <w:rFonts w:ascii="Times New Roman" w:hAnsi="Times New Roman" w:cs="Times New Roman"/>
              </w:rPr>
              <w:t>se</w:t>
            </w:r>
            <w:r>
              <w:rPr>
                <w:rFonts w:ascii="Times New Roman" w:hAnsi="Times New Roman" w:cs="Times New Roman"/>
                <w:spacing w:val="-4"/>
              </w:rPr>
              <w:t xml:space="preserve"> </w:t>
            </w:r>
            <w:r>
              <w:rPr>
                <w:rFonts w:ascii="Times New Roman" w:hAnsi="Times New Roman" w:cs="Times New Roman"/>
              </w:rPr>
              <w:t>abordarán</w:t>
            </w:r>
            <w:r>
              <w:rPr>
                <w:rFonts w:ascii="Times New Roman" w:hAnsi="Times New Roman" w:cs="Times New Roman"/>
                <w:spacing w:val="-4"/>
              </w:rPr>
              <w:t xml:space="preserve"> </w:t>
            </w:r>
            <w:r>
              <w:rPr>
                <w:rFonts w:ascii="Times New Roman" w:hAnsi="Times New Roman" w:cs="Times New Roman"/>
              </w:rPr>
              <w:t>los siguientes contenidos: Inteligencia Artificial y diseño express, Diseño</w:t>
            </w:r>
            <w:r>
              <w:rPr>
                <w:rFonts w:ascii="Times New Roman" w:hAnsi="Times New Roman" w:cs="Times New Roman"/>
                <w:spacing w:val="-8"/>
              </w:rPr>
              <w:t xml:space="preserve"> </w:t>
            </w:r>
            <w:r>
              <w:rPr>
                <w:rFonts w:ascii="Times New Roman" w:hAnsi="Times New Roman" w:cs="Times New Roman"/>
              </w:rPr>
              <w:t>de</w:t>
            </w:r>
            <w:r>
              <w:rPr>
                <w:rFonts w:ascii="Times New Roman" w:hAnsi="Times New Roman" w:cs="Times New Roman"/>
                <w:spacing w:val="-8"/>
              </w:rPr>
              <w:t xml:space="preserve"> </w:t>
            </w:r>
            <w:r>
              <w:rPr>
                <w:rFonts w:ascii="Times New Roman" w:hAnsi="Times New Roman" w:cs="Times New Roman"/>
              </w:rPr>
              <w:t>experiencia</w:t>
            </w:r>
            <w:r>
              <w:rPr>
                <w:rFonts w:ascii="Times New Roman" w:hAnsi="Times New Roman" w:cs="Times New Roman"/>
                <w:spacing w:val="-9"/>
              </w:rPr>
              <w:t xml:space="preserve"> </w:t>
            </w:r>
            <w:r>
              <w:rPr>
                <w:rFonts w:ascii="Times New Roman" w:hAnsi="Times New Roman" w:cs="Times New Roman"/>
              </w:rPr>
              <w:t>del</w:t>
            </w:r>
            <w:r>
              <w:rPr>
                <w:rFonts w:ascii="Times New Roman" w:hAnsi="Times New Roman" w:cs="Times New Roman"/>
                <w:spacing w:val="-11"/>
              </w:rPr>
              <w:t xml:space="preserve"> </w:t>
            </w:r>
            <w:r>
              <w:rPr>
                <w:rFonts w:ascii="Times New Roman" w:hAnsi="Times New Roman" w:cs="Times New Roman"/>
              </w:rPr>
              <w:t>usuario,</w:t>
            </w:r>
            <w:r>
              <w:rPr>
                <w:rFonts w:ascii="Times New Roman" w:hAnsi="Times New Roman" w:cs="Times New Roman"/>
                <w:spacing w:val="-8"/>
              </w:rPr>
              <w:t xml:space="preserve"> </w:t>
            </w:r>
            <w:r>
              <w:rPr>
                <w:rFonts w:ascii="Times New Roman" w:hAnsi="Times New Roman" w:cs="Times New Roman"/>
              </w:rPr>
              <w:t>Investigación</w:t>
            </w:r>
            <w:r>
              <w:rPr>
                <w:rFonts w:ascii="Times New Roman" w:hAnsi="Times New Roman" w:cs="Times New Roman"/>
                <w:spacing w:val="-10"/>
              </w:rPr>
              <w:t xml:space="preserve"> </w:t>
            </w:r>
            <w:r>
              <w:rPr>
                <w:rFonts w:ascii="Times New Roman" w:hAnsi="Times New Roman" w:cs="Times New Roman"/>
              </w:rPr>
              <w:t>digital,</w:t>
            </w:r>
            <w:r>
              <w:rPr>
                <w:rFonts w:ascii="Times New Roman" w:hAnsi="Times New Roman" w:cs="Times New Roman"/>
                <w:spacing w:val="-9"/>
              </w:rPr>
              <w:t xml:space="preserve"> </w:t>
            </w:r>
            <w:r>
              <w:rPr>
                <w:rFonts w:ascii="Times New Roman" w:hAnsi="Times New Roman" w:cs="Times New Roman"/>
              </w:rPr>
              <w:t>creación de contenidos para nuevas audiencias y nuevas tecnologías, Fotografía y edición digital, Comunicación inmersiva. El Contratista realizará trabajos prácticos con aplicaciones en celulares/IPad/Laptops o PC.</w:t>
            </w:r>
          </w:p>
          <w:p>
            <w:pPr>
              <w:pStyle w:val="TableParagraph"/>
              <w:ind w:left="152" w:right="148"/>
              <w:jc w:val="both"/>
              <w:rPr>
                <w:rFonts w:ascii="Times New Roman" w:hAnsi="Times New Roman" w:cs="Times New Roman"/>
              </w:rPr>
            </w:pPr>
            <w:r>
              <w:rPr>
                <w:rFonts w:ascii="Times New Roman" w:hAnsi="Times New Roman" w:cs="Times New Roman"/>
              </w:rPr>
              <w:t>En</w:t>
            </w:r>
            <w:r>
              <w:rPr>
                <w:rFonts w:ascii="Times New Roman" w:hAnsi="Times New Roman" w:cs="Times New Roman"/>
                <w:spacing w:val="-8"/>
              </w:rPr>
              <w:t xml:space="preserve"> </w:t>
            </w:r>
            <w:r>
              <w:rPr>
                <w:rFonts w:ascii="Times New Roman" w:hAnsi="Times New Roman" w:cs="Times New Roman"/>
              </w:rPr>
              <w:t>este</w:t>
            </w:r>
            <w:r>
              <w:rPr>
                <w:rFonts w:ascii="Times New Roman" w:hAnsi="Times New Roman" w:cs="Times New Roman"/>
                <w:spacing w:val="-11"/>
              </w:rPr>
              <w:t xml:space="preserve"> </w:t>
            </w:r>
            <w:r>
              <w:rPr>
                <w:rFonts w:ascii="Times New Roman" w:hAnsi="Times New Roman" w:cs="Times New Roman"/>
              </w:rPr>
              <w:t>taller,</w:t>
            </w:r>
            <w:r>
              <w:rPr>
                <w:rFonts w:ascii="Times New Roman" w:hAnsi="Times New Roman" w:cs="Times New Roman"/>
                <w:spacing w:val="-10"/>
              </w:rPr>
              <w:t xml:space="preserve"> </w:t>
            </w:r>
            <w:r>
              <w:rPr>
                <w:rFonts w:ascii="Times New Roman" w:hAnsi="Times New Roman" w:cs="Times New Roman"/>
              </w:rPr>
              <w:t>los</w:t>
            </w:r>
            <w:r>
              <w:rPr>
                <w:rFonts w:ascii="Times New Roman" w:hAnsi="Times New Roman" w:cs="Times New Roman"/>
                <w:spacing w:val="-9"/>
              </w:rPr>
              <w:t xml:space="preserve"> </w:t>
            </w:r>
            <w:r>
              <w:rPr>
                <w:rFonts w:ascii="Times New Roman" w:hAnsi="Times New Roman" w:cs="Times New Roman"/>
              </w:rPr>
              <w:t>miembros</w:t>
            </w:r>
            <w:r>
              <w:rPr>
                <w:rFonts w:ascii="Times New Roman" w:hAnsi="Times New Roman" w:cs="Times New Roman"/>
                <w:spacing w:val="-9"/>
              </w:rPr>
              <w:t xml:space="preserve"> </w:t>
            </w:r>
            <w:r>
              <w:rPr>
                <w:rFonts w:ascii="Times New Roman" w:hAnsi="Times New Roman" w:cs="Times New Roman"/>
              </w:rPr>
              <w:t>de</w:t>
            </w:r>
            <w:r>
              <w:rPr>
                <w:rFonts w:ascii="Times New Roman" w:hAnsi="Times New Roman" w:cs="Times New Roman"/>
                <w:spacing w:val="-8"/>
              </w:rPr>
              <w:t xml:space="preserve"> </w:t>
            </w:r>
            <w:r>
              <w:rPr>
                <w:rFonts w:ascii="Times New Roman" w:hAnsi="Times New Roman" w:cs="Times New Roman"/>
              </w:rPr>
              <w:t>la</w:t>
            </w:r>
            <w:r>
              <w:rPr>
                <w:rFonts w:ascii="Times New Roman" w:hAnsi="Times New Roman" w:cs="Times New Roman"/>
                <w:spacing w:val="-11"/>
              </w:rPr>
              <w:t xml:space="preserve"> </w:t>
            </w:r>
            <w:r>
              <w:rPr>
                <w:rFonts w:ascii="Times New Roman" w:hAnsi="Times New Roman" w:cs="Times New Roman"/>
              </w:rPr>
              <w:t>Unidad</w:t>
            </w:r>
            <w:r>
              <w:rPr>
                <w:rFonts w:ascii="Times New Roman" w:hAnsi="Times New Roman" w:cs="Times New Roman"/>
                <w:spacing w:val="-10"/>
              </w:rPr>
              <w:t xml:space="preserve"> </w:t>
            </w:r>
            <w:r>
              <w:rPr>
                <w:rFonts w:ascii="Times New Roman" w:hAnsi="Times New Roman" w:cs="Times New Roman"/>
              </w:rPr>
              <w:t>de</w:t>
            </w:r>
            <w:r>
              <w:rPr>
                <w:rFonts w:ascii="Times New Roman" w:hAnsi="Times New Roman" w:cs="Times New Roman"/>
                <w:spacing w:val="-11"/>
              </w:rPr>
              <w:t xml:space="preserve"> </w:t>
            </w:r>
            <w:r>
              <w:rPr>
                <w:rFonts w:ascii="Times New Roman" w:hAnsi="Times New Roman" w:cs="Times New Roman"/>
              </w:rPr>
              <w:t>Comunicación</w:t>
            </w:r>
            <w:r>
              <w:rPr>
                <w:rFonts w:ascii="Times New Roman" w:hAnsi="Times New Roman" w:cs="Times New Roman"/>
                <w:spacing w:val="-10"/>
              </w:rPr>
              <w:t xml:space="preserve"> </w:t>
            </w:r>
            <w:r>
              <w:rPr>
                <w:rFonts w:ascii="Times New Roman" w:hAnsi="Times New Roman" w:cs="Times New Roman"/>
              </w:rPr>
              <w:t>Social de la Procuraduría General del Estado presentarán una Estrategia de Comunicación Digital con su respectivo Plan de Trabajo, y los productos propuestos para posicionar la gestión institucional</w:t>
            </w:r>
            <w:r>
              <w:rPr>
                <w:rFonts w:ascii="Times New Roman" w:hAnsi="Times New Roman" w:cs="Times New Roman"/>
                <w:spacing w:val="-2"/>
              </w:rPr>
              <w:t xml:space="preserve"> </w:t>
            </w:r>
            <w:r>
              <w:rPr>
                <w:rFonts w:ascii="Times New Roman" w:hAnsi="Times New Roman" w:cs="Times New Roman"/>
              </w:rPr>
              <w:t>de la</w:t>
            </w:r>
            <w:r>
              <w:rPr>
                <w:rFonts w:ascii="Times New Roman" w:hAnsi="Times New Roman" w:cs="Times New Roman"/>
                <w:spacing w:val="-2"/>
              </w:rPr>
              <w:t xml:space="preserve"> </w:t>
            </w:r>
            <w:r>
              <w:rPr>
                <w:rFonts w:ascii="Times New Roman" w:hAnsi="Times New Roman" w:cs="Times New Roman"/>
              </w:rPr>
              <w:t>Procuraría General</w:t>
            </w:r>
            <w:r>
              <w:rPr>
                <w:rFonts w:ascii="Times New Roman" w:hAnsi="Times New Roman" w:cs="Times New Roman"/>
                <w:spacing w:val="-3"/>
              </w:rPr>
              <w:t xml:space="preserve"> </w:t>
            </w:r>
            <w:r>
              <w:rPr>
                <w:rFonts w:ascii="Times New Roman" w:hAnsi="Times New Roman" w:cs="Times New Roman"/>
              </w:rPr>
              <w:t>del Estado. Esta Estrategia será la evaluación final.</w:t>
            </w:r>
          </w:p>
          <w:p>
            <w:pPr>
              <w:pStyle w:val="TableParagraph"/>
              <w:ind w:left="152" w:right="148"/>
              <w:jc w:val="both"/>
              <w:rPr>
                <w:rFonts w:ascii="Times New Roman" w:hAnsi="Times New Roman" w:cs="Times New Roman"/>
              </w:rPr>
            </w:pPr>
            <w:r>
              <w:rPr>
                <w:rFonts w:ascii="Times New Roman" w:hAnsi="Times New Roman" w:cs="Times New Roman"/>
                <w:spacing w:val="-2"/>
              </w:rPr>
              <w:t>El</w:t>
            </w:r>
            <w:r>
              <w:rPr>
                <w:rFonts w:ascii="Times New Roman" w:hAnsi="Times New Roman" w:cs="Times New Roman"/>
                <w:spacing w:val="-10"/>
              </w:rPr>
              <w:t xml:space="preserve"> </w:t>
            </w:r>
            <w:r>
              <w:rPr>
                <w:rFonts w:ascii="Times New Roman" w:hAnsi="Times New Roman" w:cs="Times New Roman"/>
                <w:spacing w:val="-2"/>
              </w:rPr>
              <w:t>taller</w:t>
            </w:r>
            <w:r>
              <w:rPr>
                <w:rFonts w:ascii="Times New Roman" w:hAnsi="Times New Roman" w:cs="Times New Roman"/>
                <w:spacing w:val="-10"/>
              </w:rPr>
              <w:t xml:space="preserve"> </w:t>
            </w:r>
            <w:r>
              <w:rPr>
                <w:rFonts w:ascii="Times New Roman" w:hAnsi="Times New Roman" w:cs="Times New Roman"/>
                <w:spacing w:val="-2"/>
              </w:rPr>
              <w:t>se</w:t>
            </w:r>
            <w:r>
              <w:rPr>
                <w:rFonts w:ascii="Times New Roman" w:hAnsi="Times New Roman" w:cs="Times New Roman"/>
                <w:spacing w:val="-4"/>
              </w:rPr>
              <w:t xml:space="preserve"> </w:t>
            </w:r>
            <w:r>
              <w:rPr>
                <w:rFonts w:ascii="Times New Roman" w:hAnsi="Times New Roman" w:cs="Times New Roman"/>
                <w:spacing w:val="-2"/>
              </w:rPr>
              <w:t>realizará</w:t>
            </w:r>
            <w:r>
              <w:rPr>
                <w:rFonts w:ascii="Times New Roman" w:hAnsi="Times New Roman" w:cs="Times New Roman"/>
                <w:spacing w:val="-8"/>
              </w:rPr>
              <w:t xml:space="preserve"> </w:t>
            </w:r>
            <w:r>
              <w:rPr>
                <w:rFonts w:ascii="Times New Roman" w:hAnsi="Times New Roman" w:cs="Times New Roman"/>
                <w:spacing w:val="-2"/>
              </w:rPr>
              <w:t>en</w:t>
            </w:r>
            <w:r>
              <w:rPr>
                <w:rFonts w:ascii="Times New Roman" w:hAnsi="Times New Roman" w:cs="Times New Roman"/>
                <w:spacing w:val="-8"/>
              </w:rPr>
              <w:t xml:space="preserve"> </w:t>
            </w:r>
            <w:r>
              <w:rPr>
                <w:rFonts w:ascii="Times New Roman" w:hAnsi="Times New Roman" w:cs="Times New Roman"/>
                <w:spacing w:val="-2"/>
              </w:rPr>
              <w:t>el</w:t>
            </w:r>
            <w:r>
              <w:rPr>
                <w:rFonts w:ascii="Times New Roman" w:hAnsi="Times New Roman" w:cs="Times New Roman"/>
                <w:spacing w:val="-10"/>
              </w:rPr>
              <w:t xml:space="preserve"> </w:t>
            </w:r>
            <w:r>
              <w:rPr>
                <w:rFonts w:ascii="Times New Roman" w:hAnsi="Times New Roman" w:cs="Times New Roman"/>
                <w:spacing w:val="-2"/>
              </w:rPr>
              <w:t>lugar</w:t>
            </w:r>
            <w:r>
              <w:rPr>
                <w:rFonts w:ascii="Times New Roman" w:hAnsi="Times New Roman" w:cs="Times New Roman"/>
                <w:spacing w:val="-8"/>
              </w:rPr>
              <w:t xml:space="preserve"> </w:t>
            </w:r>
            <w:r>
              <w:rPr>
                <w:rFonts w:ascii="Times New Roman" w:hAnsi="Times New Roman" w:cs="Times New Roman"/>
                <w:spacing w:val="-2"/>
              </w:rPr>
              <w:t>que</w:t>
            </w:r>
            <w:r>
              <w:rPr>
                <w:rFonts w:ascii="Times New Roman" w:hAnsi="Times New Roman" w:cs="Times New Roman"/>
                <w:spacing w:val="-7"/>
              </w:rPr>
              <w:t xml:space="preserve"> </w:t>
            </w:r>
            <w:r>
              <w:rPr>
                <w:rFonts w:ascii="Times New Roman" w:hAnsi="Times New Roman" w:cs="Times New Roman"/>
                <w:spacing w:val="-2"/>
              </w:rPr>
              <w:t>proponga el</w:t>
            </w:r>
            <w:r>
              <w:rPr>
                <w:rFonts w:ascii="Times New Roman" w:hAnsi="Times New Roman" w:cs="Times New Roman"/>
                <w:spacing w:val="-4"/>
              </w:rPr>
              <w:t xml:space="preserve"> </w:t>
            </w:r>
            <w:r>
              <w:rPr>
                <w:rFonts w:ascii="Times New Roman" w:hAnsi="Times New Roman" w:cs="Times New Roman"/>
                <w:spacing w:val="-2"/>
              </w:rPr>
              <w:t xml:space="preserve">Contratista previa </w:t>
            </w:r>
            <w:r>
              <w:rPr>
                <w:rFonts w:ascii="Times New Roman" w:hAnsi="Times New Roman" w:cs="Times New Roman"/>
              </w:rPr>
              <w:t>autorización del Administrador de Contrato.</w:t>
            </w:r>
          </w:p>
        </w:tc>
      </w:tr>
      <w:tr>
        <w:trPr>
          <w:trHeight w:val="268"/>
        </w:trPr>
        <w:tc>
          <w:tcPr>
            <w:tcW w:w="430" w:type="dxa"/>
          </w:tcPr>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ind w:right="26"/>
              <w:jc w:val="center"/>
              <w:rPr>
                <w:rFonts w:ascii="Times New Roman" w:hAnsi="Times New Roman" w:cs="Times New Roman"/>
                <w:b/>
              </w:rPr>
            </w:pPr>
            <w:r>
              <w:rPr>
                <w:rFonts w:ascii="Times New Roman" w:hAnsi="Times New Roman" w:cs="Times New Roman"/>
                <w:b/>
                <w:spacing w:val="-10"/>
              </w:rPr>
              <w:t>4</w:t>
            </w:r>
          </w:p>
        </w:tc>
        <w:tc>
          <w:tcPr>
            <w:tcW w:w="2406" w:type="dxa"/>
          </w:tcPr>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rPr>
                <w:rFonts w:ascii="Times New Roman" w:hAnsi="Times New Roman" w:cs="Times New Roman"/>
                <w:b/>
              </w:rPr>
            </w:pPr>
          </w:p>
          <w:p>
            <w:pPr>
              <w:pStyle w:val="TableParagraph"/>
              <w:ind w:left="136" w:right="61"/>
              <w:rPr>
                <w:rFonts w:ascii="Times New Roman" w:hAnsi="Times New Roman" w:cs="Times New Roman"/>
              </w:rPr>
            </w:pPr>
            <w:r>
              <w:rPr>
                <w:rFonts w:ascii="Times New Roman" w:hAnsi="Times New Roman" w:cs="Times New Roman"/>
                <w:spacing w:val="-2"/>
              </w:rPr>
              <w:t xml:space="preserve">Evaluación, </w:t>
            </w:r>
            <w:r>
              <w:rPr>
                <w:rFonts w:ascii="Times New Roman" w:hAnsi="Times New Roman" w:cs="Times New Roman"/>
              </w:rPr>
              <w:t>certificación,</w:t>
            </w:r>
            <w:r>
              <w:rPr>
                <w:rFonts w:ascii="Times New Roman" w:hAnsi="Times New Roman" w:cs="Times New Roman"/>
                <w:spacing w:val="-2"/>
              </w:rPr>
              <w:t xml:space="preserve"> </w:t>
            </w:r>
            <w:r>
              <w:rPr>
                <w:rFonts w:ascii="Times New Roman" w:hAnsi="Times New Roman" w:cs="Times New Roman"/>
              </w:rPr>
              <w:t>y</w:t>
            </w:r>
            <w:r>
              <w:rPr>
                <w:rFonts w:ascii="Times New Roman" w:hAnsi="Times New Roman" w:cs="Times New Roman"/>
                <w:spacing w:val="-3"/>
              </w:rPr>
              <w:t xml:space="preserve"> </w:t>
            </w:r>
            <w:r>
              <w:rPr>
                <w:rFonts w:ascii="Times New Roman" w:hAnsi="Times New Roman" w:cs="Times New Roman"/>
              </w:rPr>
              <w:t>reporte de actividades.</w:t>
            </w:r>
          </w:p>
        </w:tc>
        <w:tc>
          <w:tcPr>
            <w:tcW w:w="6239" w:type="dxa"/>
          </w:tcPr>
          <w:p>
            <w:pPr>
              <w:pStyle w:val="TableParagraph"/>
              <w:ind w:left="152" w:right="147"/>
              <w:jc w:val="both"/>
              <w:rPr>
                <w:rFonts w:ascii="Times New Roman" w:hAnsi="Times New Roman" w:cs="Times New Roman"/>
              </w:rPr>
            </w:pPr>
            <w:r>
              <w:rPr>
                <w:rFonts w:ascii="Times New Roman" w:hAnsi="Times New Roman" w:cs="Times New Roman"/>
              </w:rPr>
              <w:t>El</w:t>
            </w:r>
            <w:r>
              <w:rPr>
                <w:rFonts w:ascii="Times New Roman" w:hAnsi="Times New Roman" w:cs="Times New Roman"/>
                <w:spacing w:val="-5"/>
              </w:rPr>
              <w:t xml:space="preserve"> </w:t>
            </w:r>
            <w:r>
              <w:rPr>
                <w:rFonts w:ascii="Times New Roman" w:hAnsi="Times New Roman" w:cs="Times New Roman"/>
              </w:rPr>
              <w:t>Contratista</w:t>
            </w:r>
            <w:r>
              <w:rPr>
                <w:rFonts w:ascii="Times New Roman" w:hAnsi="Times New Roman" w:cs="Times New Roman"/>
                <w:spacing w:val="-6"/>
              </w:rPr>
              <w:t xml:space="preserve"> </w:t>
            </w:r>
            <w:r>
              <w:rPr>
                <w:rFonts w:ascii="Times New Roman" w:hAnsi="Times New Roman" w:cs="Times New Roman"/>
              </w:rPr>
              <w:t>entregará</w:t>
            </w:r>
            <w:r>
              <w:rPr>
                <w:rFonts w:ascii="Times New Roman" w:hAnsi="Times New Roman" w:cs="Times New Roman"/>
                <w:spacing w:val="-6"/>
              </w:rPr>
              <w:t xml:space="preserve"> </w:t>
            </w:r>
            <w:r>
              <w:rPr>
                <w:rFonts w:ascii="Times New Roman" w:hAnsi="Times New Roman" w:cs="Times New Roman"/>
              </w:rPr>
              <w:t>los</w:t>
            </w:r>
            <w:r>
              <w:rPr>
                <w:rFonts w:ascii="Times New Roman" w:hAnsi="Times New Roman" w:cs="Times New Roman"/>
                <w:spacing w:val="-3"/>
              </w:rPr>
              <w:t xml:space="preserve"> </w:t>
            </w:r>
            <w:r>
              <w:rPr>
                <w:rFonts w:ascii="Times New Roman" w:hAnsi="Times New Roman" w:cs="Times New Roman"/>
              </w:rPr>
              <w:t>certificados</w:t>
            </w:r>
            <w:r>
              <w:rPr>
                <w:rFonts w:ascii="Times New Roman" w:hAnsi="Times New Roman" w:cs="Times New Roman"/>
                <w:spacing w:val="-5"/>
              </w:rPr>
              <w:t xml:space="preserve"> </w:t>
            </w:r>
            <w:r>
              <w:rPr>
                <w:rFonts w:ascii="Times New Roman" w:hAnsi="Times New Roman" w:cs="Times New Roman"/>
              </w:rPr>
              <w:t>en</w:t>
            </w:r>
            <w:r>
              <w:rPr>
                <w:rFonts w:ascii="Times New Roman" w:hAnsi="Times New Roman" w:cs="Times New Roman"/>
                <w:spacing w:val="-5"/>
              </w:rPr>
              <w:t xml:space="preserve"> </w:t>
            </w:r>
            <w:r>
              <w:rPr>
                <w:rFonts w:ascii="Times New Roman" w:hAnsi="Times New Roman" w:cs="Times New Roman"/>
              </w:rPr>
              <w:t>las</w:t>
            </w:r>
            <w:r>
              <w:rPr>
                <w:rFonts w:ascii="Times New Roman" w:hAnsi="Times New Roman" w:cs="Times New Roman"/>
                <w:spacing w:val="-5"/>
              </w:rPr>
              <w:t xml:space="preserve"> </w:t>
            </w:r>
            <w:r>
              <w:rPr>
                <w:rFonts w:ascii="Times New Roman" w:hAnsi="Times New Roman" w:cs="Times New Roman"/>
              </w:rPr>
              <w:t>que</w:t>
            </w:r>
            <w:r>
              <w:rPr>
                <w:rFonts w:ascii="Times New Roman" w:hAnsi="Times New Roman" w:cs="Times New Roman"/>
                <w:spacing w:val="-8"/>
              </w:rPr>
              <w:t xml:space="preserve"> </w:t>
            </w:r>
            <w:r>
              <w:rPr>
                <w:rFonts w:ascii="Times New Roman" w:hAnsi="Times New Roman" w:cs="Times New Roman"/>
              </w:rPr>
              <w:t>se</w:t>
            </w:r>
            <w:r>
              <w:rPr>
                <w:rFonts w:ascii="Times New Roman" w:hAnsi="Times New Roman" w:cs="Times New Roman"/>
                <w:spacing w:val="-8"/>
              </w:rPr>
              <w:t xml:space="preserve"> </w:t>
            </w:r>
            <w:r>
              <w:rPr>
                <w:rFonts w:ascii="Times New Roman" w:hAnsi="Times New Roman" w:cs="Times New Roman"/>
              </w:rPr>
              <w:t>incluyan</w:t>
            </w:r>
            <w:r>
              <w:rPr>
                <w:rFonts w:ascii="Times New Roman" w:hAnsi="Times New Roman" w:cs="Times New Roman"/>
                <w:spacing w:val="31"/>
              </w:rPr>
              <w:t xml:space="preserve"> </w:t>
            </w:r>
            <w:r>
              <w:rPr>
                <w:rFonts w:ascii="Times New Roman" w:hAnsi="Times New Roman" w:cs="Times New Roman"/>
              </w:rPr>
              <w:t xml:space="preserve">el total de las horas académicas recibidas del diplomado </w:t>
            </w:r>
            <w:r>
              <w:rPr>
                <w:rFonts w:ascii="Times New Roman" w:hAnsi="Times New Roman" w:cs="Times New Roman"/>
                <w:i/>
              </w:rPr>
              <w:t>“Capacitación</w:t>
            </w:r>
            <w:r>
              <w:rPr>
                <w:rFonts w:ascii="Times New Roman" w:hAnsi="Times New Roman" w:cs="Times New Roman"/>
                <w:i/>
                <w:spacing w:val="-3"/>
              </w:rPr>
              <w:t xml:space="preserve"> </w:t>
            </w:r>
            <w:r>
              <w:rPr>
                <w:rFonts w:ascii="Times New Roman" w:hAnsi="Times New Roman" w:cs="Times New Roman"/>
                <w:i/>
              </w:rPr>
              <w:t>en</w:t>
            </w:r>
            <w:r>
              <w:rPr>
                <w:rFonts w:ascii="Times New Roman" w:hAnsi="Times New Roman" w:cs="Times New Roman"/>
                <w:i/>
                <w:spacing w:val="-3"/>
              </w:rPr>
              <w:t xml:space="preserve"> </w:t>
            </w:r>
            <w:r>
              <w:rPr>
                <w:rFonts w:ascii="Times New Roman" w:hAnsi="Times New Roman" w:cs="Times New Roman"/>
                <w:i/>
              </w:rPr>
              <w:t>herramientas</w:t>
            </w:r>
            <w:r>
              <w:rPr>
                <w:rFonts w:ascii="Times New Roman" w:hAnsi="Times New Roman" w:cs="Times New Roman"/>
                <w:i/>
                <w:spacing w:val="-2"/>
              </w:rPr>
              <w:t xml:space="preserve"> </w:t>
            </w:r>
            <w:r>
              <w:rPr>
                <w:rFonts w:ascii="Times New Roman" w:hAnsi="Times New Roman" w:cs="Times New Roman"/>
                <w:i/>
              </w:rPr>
              <w:t>de</w:t>
            </w:r>
            <w:r>
              <w:rPr>
                <w:rFonts w:ascii="Times New Roman" w:hAnsi="Times New Roman" w:cs="Times New Roman"/>
                <w:i/>
                <w:spacing w:val="-1"/>
              </w:rPr>
              <w:t xml:space="preserve"> </w:t>
            </w:r>
            <w:r>
              <w:rPr>
                <w:rFonts w:ascii="Times New Roman" w:hAnsi="Times New Roman" w:cs="Times New Roman"/>
                <w:i/>
              </w:rPr>
              <w:t xml:space="preserve">Comunicación”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los</w:t>
            </w:r>
            <w:r>
              <w:rPr>
                <w:rFonts w:ascii="Times New Roman" w:hAnsi="Times New Roman" w:cs="Times New Roman"/>
                <w:spacing w:val="-1"/>
              </w:rPr>
              <w:t xml:space="preserve"> </w:t>
            </w:r>
            <w:r>
              <w:rPr>
                <w:rFonts w:ascii="Times New Roman" w:hAnsi="Times New Roman" w:cs="Times New Roman"/>
              </w:rPr>
              <w:t>miembros de la Unidad de</w:t>
            </w:r>
            <w:r>
              <w:rPr>
                <w:rFonts w:ascii="Times New Roman" w:hAnsi="Times New Roman" w:cs="Times New Roman"/>
                <w:spacing w:val="-1"/>
              </w:rPr>
              <w:t xml:space="preserve"> </w:t>
            </w:r>
            <w:r>
              <w:rPr>
                <w:rFonts w:ascii="Times New Roman" w:hAnsi="Times New Roman" w:cs="Times New Roman"/>
              </w:rPr>
              <w:t>Comunicación Social</w:t>
            </w:r>
            <w:r>
              <w:rPr>
                <w:rFonts w:ascii="Times New Roman" w:hAnsi="Times New Roman" w:cs="Times New Roman"/>
                <w:spacing w:val="-1"/>
              </w:rPr>
              <w:t xml:space="preserve"> </w:t>
            </w:r>
            <w:r>
              <w:rPr>
                <w:rFonts w:ascii="Times New Roman" w:hAnsi="Times New Roman" w:cs="Times New Roman"/>
              </w:rPr>
              <w:t>de la Procuraduría General del Estado (82 horas académicas).</w:t>
            </w:r>
          </w:p>
          <w:p>
            <w:pPr>
              <w:pStyle w:val="TableParagraph"/>
              <w:ind w:left="152" w:right="148"/>
              <w:jc w:val="both"/>
              <w:rPr>
                <w:rFonts w:ascii="Times New Roman" w:hAnsi="Times New Roman" w:cs="Times New Roman"/>
              </w:rPr>
            </w:pPr>
            <w:r>
              <w:rPr>
                <w:rFonts w:ascii="Times New Roman" w:hAnsi="Times New Roman" w:cs="Times New Roman"/>
              </w:rPr>
              <w:t>Previo a la entrega de certificados, se evaluará la participación activa</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3"/>
              </w:rPr>
              <w:t xml:space="preserve"> </w:t>
            </w:r>
            <w:r>
              <w:rPr>
                <w:rFonts w:ascii="Times New Roman" w:hAnsi="Times New Roman" w:cs="Times New Roman"/>
              </w:rPr>
              <w:t>cada</w:t>
            </w:r>
            <w:r>
              <w:rPr>
                <w:rFonts w:ascii="Times New Roman" w:hAnsi="Times New Roman" w:cs="Times New Roman"/>
                <w:spacing w:val="-1"/>
              </w:rPr>
              <w:t xml:space="preserve"> </w:t>
            </w:r>
            <w:r>
              <w:rPr>
                <w:rFonts w:ascii="Times New Roman" w:hAnsi="Times New Roman" w:cs="Times New Roman"/>
              </w:rPr>
              <w:t>miembro</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la</w:t>
            </w:r>
            <w:r>
              <w:rPr>
                <w:rFonts w:ascii="Times New Roman" w:hAnsi="Times New Roman" w:cs="Times New Roman"/>
                <w:spacing w:val="-3"/>
              </w:rPr>
              <w:t xml:space="preserve"> </w:t>
            </w:r>
            <w:r>
              <w:rPr>
                <w:rFonts w:ascii="Times New Roman" w:hAnsi="Times New Roman" w:cs="Times New Roman"/>
              </w:rPr>
              <w:t>Unidad</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Comunicación</w:t>
            </w:r>
            <w:r>
              <w:rPr>
                <w:rFonts w:ascii="Times New Roman" w:hAnsi="Times New Roman" w:cs="Times New Roman"/>
                <w:spacing w:val="-1"/>
              </w:rPr>
              <w:t xml:space="preserve"> </w:t>
            </w:r>
            <w:r>
              <w:rPr>
                <w:rFonts w:ascii="Times New Roman" w:hAnsi="Times New Roman" w:cs="Times New Roman"/>
              </w:rPr>
              <w:t>Social</w:t>
            </w:r>
            <w:r>
              <w:rPr>
                <w:rFonts w:ascii="Times New Roman" w:hAnsi="Times New Roman" w:cs="Times New Roman"/>
                <w:spacing w:val="-4"/>
              </w:rPr>
              <w:t xml:space="preserve"> </w:t>
            </w:r>
            <w:r>
              <w:rPr>
                <w:rFonts w:ascii="Times New Roman" w:hAnsi="Times New Roman" w:cs="Times New Roman"/>
              </w:rPr>
              <w:t xml:space="preserve">en la elaboración de la Estrategia de Comunicación Digital. Los funcionarios que superen los 70 puntos sobre 100 obtendrán la </w:t>
            </w:r>
            <w:r>
              <w:rPr>
                <w:rFonts w:ascii="Times New Roman" w:hAnsi="Times New Roman" w:cs="Times New Roman"/>
                <w:spacing w:val="-2"/>
              </w:rPr>
              <w:t>certificación.</w:t>
            </w:r>
          </w:p>
          <w:p>
            <w:pPr>
              <w:pStyle w:val="TableParagraph"/>
              <w:rPr>
                <w:rFonts w:ascii="Times New Roman" w:hAnsi="Times New Roman" w:cs="Times New Roman"/>
                <w:b/>
              </w:rPr>
            </w:pPr>
          </w:p>
          <w:p>
            <w:pPr>
              <w:pStyle w:val="TableParagraph"/>
              <w:ind w:left="152" w:right="147"/>
              <w:jc w:val="both"/>
              <w:rPr>
                <w:rFonts w:ascii="Times New Roman" w:hAnsi="Times New Roman" w:cs="Times New Roman"/>
              </w:rPr>
            </w:pPr>
            <w:r>
              <w:rPr>
                <w:rFonts w:ascii="Times New Roman" w:hAnsi="Times New Roman" w:cs="Times New Roman"/>
              </w:rPr>
              <w:t>Una vez que el Contratista entregue los certificados, entregará un informe final con el reporte de todas las actividades desarrolladas</w:t>
            </w:r>
            <w:r>
              <w:rPr>
                <w:rFonts w:ascii="Times New Roman" w:hAnsi="Times New Roman" w:cs="Times New Roman"/>
                <w:spacing w:val="42"/>
              </w:rPr>
              <w:t xml:space="preserve">  </w:t>
            </w:r>
            <w:r>
              <w:rPr>
                <w:rFonts w:ascii="Times New Roman" w:hAnsi="Times New Roman" w:cs="Times New Roman"/>
              </w:rPr>
              <w:t>durante</w:t>
            </w:r>
            <w:r>
              <w:rPr>
                <w:rFonts w:ascii="Times New Roman" w:hAnsi="Times New Roman" w:cs="Times New Roman"/>
                <w:spacing w:val="41"/>
              </w:rPr>
              <w:t xml:space="preserve">  </w:t>
            </w:r>
            <w:r>
              <w:rPr>
                <w:rFonts w:ascii="Times New Roman" w:hAnsi="Times New Roman" w:cs="Times New Roman"/>
              </w:rPr>
              <w:t>la</w:t>
            </w:r>
            <w:r>
              <w:rPr>
                <w:rFonts w:ascii="Times New Roman" w:hAnsi="Times New Roman" w:cs="Times New Roman"/>
                <w:spacing w:val="42"/>
              </w:rPr>
              <w:t xml:space="preserve">  </w:t>
            </w:r>
            <w:r>
              <w:rPr>
                <w:rFonts w:ascii="Times New Roman" w:hAnsi="Times New Roman" w:cs="Times New Roman"/>
              </w:rPr>
              <w:t>ejecución</w:t>
            </w:r>
            <w:r>
              <w:rPr>
                <w:rFonts w:ascii="Times New Roman" w:hAnsi="Times New Roman" w:cs="Times New Roman"/>
                <w:spacing w:val="42"/>
              </w:rPr>
              <w:t xml:space="preserve">  </w:t>
            </w:r>
            <w:r>
              <w:rPr>
                <w:rFonts w:ascii="Times New Roman" w:hAnsi="Times New Roman" w:cs="Times New Roman"/>
              </w:rPr>
              <w:t>del</w:t>
            </w:r>
            <w:r>
              <w:rPr>
                <w:rFonts w:ascii="Times New Roman" w:hAnsi="Times New Roman" w:cs="Times New Roman"/>
                <w:spacing w:val="70"/>
                <w:w w:val="150"/>
              </w:rPr>
              <w:t xml:space="preserve"> </w:t>
            </w:r>
            <w:r>
              <w:rPr>
                <w:rFonts w:ascii="Times New Roman" w:hAnsi="Times New Roman" w:cs="Times New Roman"/>
              </w:rPr>
              <w:t>contrato</w:t>
            </w:r>
            <w:r>
              <w:rPr>
                <w:rFonts w:ascii="Times New Roman" w:hAnsi="Times New Roman" w:cs="Times New Roman"/>
                <w:spacing w:val="67"/>
                <w:w w:val="150"/>
              </w:rPr>
              <w:t xml:space="preserve"> </w:t>
            </w:r>
            <w:r>
              <w:rPr>
                <w:rFonts w:ascii="Times New Roman" w:hAnsi="Times New Roman" w:cs="Times New Roman"/>
              </w:rPr>
              <w:t>con</w:t>
            </w:r>
            <w:r>
              <w:rPr>
                <w:rFonts w:ascii="Times New Roman" w:hAnsi="Times New Roman" w:cs="Times New Roman"/>
                <w:spacing w:val="68"/>
                <w:w w:val="150"/>
              </w:rPr>
              <w:t xml:space="preserve"> </w:t>
            </w:r>
            <w:r>
              <w:rPr>
                <w:rFonts w:ascii="Times New Roman" w:hAnsi="Times New Roman" w:cs="Times New Roman"/>
                <w:spacing w:val="-5"/>
              </w:rPr>
              <w:t>sus</w:t>
            </w:r>
          </w:p>
          <w:p>
            <w:pPr>
              <w:pStyle w:val="TableParagraph"/>
              <w:ind w:left="152"/>
              <w:jc w:val="both"/>
              <w:rPr>
                <w:rFonts w:ascii="Times New Roman" w:hAnsi="Times New Roman" w:cs="Times New Roman"/>
              </w:rPr>
            </w:pPr>
            <w:r>
              <w:rPr>
                <w:rFonts w:ascii="Times New Roman" w:hAnsi="Times New Roman" w:cs="Times New Roman"/>
                <w:spacing w:val="-4"/>
              </w:rPr>
              <w:t>respectivos</w:t>
            </w:r>
            <w:r>
              <w:rPr>
                <w:rFonts w:ascii="Times New Roman" w:hAnsi="Times New Roman" w:cs="Times New Roman"/>
                <w:spacing w:val="10"/>
              </w:rPr>
              <w:t xml:space="preserve"> </w:t>
            </w:r>
            <w:r>
              <w:rPr>
                <w:rFonts w:ascii="Times New Roman" w:hAnsi="Times New Roman" w:cs="Times New Roman"/>
                <w:spacing w:val="-4"/>
              </w:rPr>
              <w:t>verificables</w:t>
            </w:r>
            <w:r>
              <w:rPr>
                <w:rFonts w:ascii="Times New Roman" w:hAnsi="Times New Roman" w:cs="Times New Roman"/>
                <w:spacing w:val="11"/>
              </w:rPr>
              <w:t xml:space="preserve"> </w:t>
            </w:r>
            <w:r>
              <w:rPr>
                <w:rFonts w:ascii="Times New Roman" w:hAnsi="Times New Roman" w:cs="Times New Roman"/>
                <w:spacing w:val="-4"/>
              </w:rPr>
              <w:t>(documentos,</w:t>
            </w:r>
            <w:r>
              <w:rPr>
                <w:rFonts w:ascii="Times New Roman" w:hAnsi="Times New Roman" w:cs="Times New Roman"/>
                <w:spacing w:val="9"/>
              </w:rPr>
              <w:t xml:space="preserve"> </w:t>
            </w:r>
            <w:r>
              <w:rPr>
                <w:rFonts w:ascii="Times New Roman" w:hAnsi="Times New Roman" w:cs="Times New Roman"/>
                <w:spacing w:val="-4"/>
              </w:rPr>
              <w:t>fotos,</w:t>
            </w:r>
            <w:r>
              <w:rPr>
                <w:rFonts w:ascii="Times New Roman" w:hAnsi="Times New Roman" w:cs="Times New Roman"/>
                <w:spacing w:val="10"/>
              </w:rPr>
              <w:t xml:space="preserve"> </w:t>
            </w:r>
            <w:r>
              <w:rPr>
                <w:rFonts w:ascii="Times New Roman" w:hAnsi="Times New Roman" w:cs="Times New Roman"/>
                <w:spacing w:val="-4"/>
              </w:rPr>
              <w:t>etc.).</w:t>
            </w:r>
          </w:p>
        </w:tc>
      </w:tr>
    </w:tbl>
    <w:p>
      <w:pPr>
        <w:pStyle w:val="TableParagraph"/>
        <w:jc w:val="both"/>
        <w:rPr>
          <w:rFonts w:cs="Times New Roman"/>
        </w:rPr>
        <w:sectPr>
          <w:headerReference w:type="default" r:id="rId47"/>
          <w:pgSz w:w="11920" w:h="16850"/>
          <w:pgMar w:top="2000" w:right="1416" w:bottom="1560" w:left="1133" w:header="322" w:footer="0" w:gutter="0"/>
          <w:cols w:space="720"/>
        </w:sectPr>
      </w:pPr>
    </w:p>
    <w:p>
      <w:pPr>
        <w:pStyle w:val="Textoindependiente"/>
        <w:rPr>
          <w:rFonts w:ascii="Times New Roman" w:hAnsi="Times New Roman" w:cs="Times New Roman"/>
          <w:b/>
          <w:sz w:val="22"/>
          <w:szCs w:val="22"/>
        </w:rPr>
      </w:pPr>
    </w:p>
    <w:p>
      <w:pPr>
        <w:pStyle w:val="Ttulo1"/>
        <w:keepNext w:val="0"/>
        <w:widowControl w:val="0"/>
        <w:numPr>
          <w:ilvl w:val="0"/>
          <w:numId w:val="186"/>
        </w:numPr>
        <w:tabs>
          <w:tab w:val="clear" w:pos="1422"/>
          <w:tab w:val="left" w:pos="564"/>
        </w:tabs>
        <w:autoSpaceDE w:val="0"/>
        <w:autoSpaceDN w:val="0"/>
        <w:ind w:left="564" w:hanging="276"/>
        <w:rPr>
          <w:rFonts w:ascii="Times New Roman" w:hAnsi="Times New Roman" w:cs="Times New Roman"/>
          <w:sz w:val="22"/>
          <w:szCs w:val="22"/>
        </w:rPr>
      </w:pPr>
      <w:r>
        <w:rPr>
          <w:rFonts w:ascii="Times New Roman" w:hAnsi="Times New Roman" w:cs="Times New Roman"/>
          <w:sz w:val="22"/>
          <w:szCs w:val="22"/>
        </w:rPr>
        <w:t>PLAZO</w:t>
      </w:r>
      <w:r>
        <w:rPr>
          <w:rFonts w:ascii="Times New Roman" w:hAnsi="Times New Roman" w:cs="Times New Roman"/>
          <w:spacing w:val="-4"/>
          <w:sz w:val="22"/>
          <w:szCs w:val="22"/>
        </w:rPr>
        <w:t xml:space="preserve"> </w:t>
      </w:r>
      <w:r>
        <w:rPr>
          <w:rFonts w:ascii="Times New Roman" w:hAnsi="Times New Roman" w:cs="Times New Roman"/>
          <w:sz w:val="22"/>
          <w:szCs w:val="22"/>
        </w:rPr>
        <w:t>DE</w:t>
      </w:r>
      <w:r>
        <w:rPr>
          <w:rFonts w:ascii="Times New Roman" w:hAnsi="Times New Roman" w:cs="Times New Roman"/>
          <w:spacing w:val="-1"/>
          <w:sz w:val="22"/>
          <w:szCs w:val="22"/>
        </w:rPr>
        <w:t xml:space="preserve"> </w:t>
      </w:r>
      <w:r>
        <w:rPr>
          <w:rFonts w:ascii="Times New Roman" w:hAnsi="Times New Roman" w:cs="Times New Roman"/>
          <w:spacing w:val="-2"/>
          <w:sz w:val="22"/>
          <w:szCs w:val="22"/>
        </w:rPr>
        <w:t>EJECUCIÓN</w:t>
      </w:r>
    </w:p>
    <w:p>
      <w:pPr>
        <w:pStyle w:val="Textoindependiente"/>
        <w:rPr>
          <w:rFonts w:ascii="Times New Roman" w:hAnsi="Times New Roman" w:cs="Times New Roman"/>
          <w:b/>
          <w:sz w:val="22"/>
          <w:szCs w:val="22"/>
        </w:rPr>
      </w:pPr>
    </w:p>
    <w:p>
      <w:pPr>
        <w:pStyle w:val="Textoindependiente"/>
        <w:ind w:left="283" w:right="15" w:firstLine="4"/>
        <w:jc w:val="both"/>
        <w:rPr>
          <w:rFonts w:ascii="Times New Roman" w:hAnsi="Times New Roman" w:cs="Times New Roman"/>
          <w:sz w:val="22"/>
          <w:szCs w:val="22"/>
        </w:rPr>
      </w:pPr>
      <w:r>
        <w:rPr>
          <w:rFonts w:ascii="Times New Roman" w:hAnsi="Times New Roman" w:cs="Times New Roman"/>
          <w:sz w:val="22"/>
          <w:szCs w:val="22"/>
        </w:rPr>
        <w:t>El</w:t>
      </w:r>
      <w:r>
        <w:rPr>
          <w:rFonts w:ascii="Times New Roman" w:hAnsi="Times New Roman" w:cs="Times New Roman"/>
          <w:spacing w:val="-6"/>
          <w:sz w:val="22"/>
          <w:szCs w:val="22"/>
        </w:rPr>
        <w:t xml:space="preserve"> </w:t>
      </w:r>
      <w:r>
        <w:rPr>
          <w:rFonts w:ascii="Times New Roman" w:hAnsi="Times New Roman" w:cs="Times New Roman"/>
          <w:sz w:val="22"/>
          <w:szCs w:val="22"/>
        </w:rPr>
        <w:t>desarrollo</w:t>
      </w:r>
      <w:r>
        <w:rPr>
          <w:rFonts w:ascii="Times New Roman" w:hAnsi="Times New Roman" w:cs="Times New Roman"/>
          <w:spacing w:val="-7"/>
          <w:sz w:val="22"/>
          <w:szCs w:val="22"/>
        </w:rPr>
        <w:t xml:space="preserve"> </w:t>
      </w:r>
      <w:r>
        <w:rPr>
          <w:rFonts w:ascii="Times New Roman" w:hAnsi="Times New Roman" w:cs="Times New Roman"/>
          <w:sz w:val="22"/>
          <w:szCs w:val="22"/>
        </w:rPr>
        <w:t>del</w:t>
      </w:r>
      <w:r>
        <w:rPr>
          <w:rFonts w:ascii="Times New Roman" w:hAnsi="Times New Roman" w:cs="Times New Roman"/>
          <w:spacing w:val="-9"/>
          <w:sz w:val="22"/>
          <w:szCs w:val="22"/>
        </w:rPr>
        <w:t xml:space="preserve"> </w:t>
      </w:r>
      <w:r>
        <w:rPr>
          <w:rFonts w:ascii="Times New Roman" w:hAnsi="Times New Roman" w:cs="Times New Roman"/>
          <w:sz w:val="22"/>
          <w:szCs w:val="22"/>
        </w:rPr>
        <w:t>servicio</w:t>
      </w:r>
      <w:r>
        <w:rPr>
          <w:rFonts w:ascii="Times New Roman" w:hAnsi="Times New Roman" w:cs="Times New Roman"/>
          <w:spacing w:val="-7"/>
          <w:sz w:val="22"/>
          <w:szCs w:val="22"/>
        </w:rPr>
        <w:t xml:space="preserve"> </w:t>
      </w:r>
      <w:r>
        <w:rPr>
          <w:rFonts w:ascii="Times New Roman" w:hAnsi="Times New Roman" w:cs="Times New Roman"/>
          <w:sz w:val="22"/>
          <w:szCs w:val="22"/>
        </w:rPr>
        <w:t>en</w:t>
      </w:r>
      <w:r>
        <w:rPr>
          <w:rFonts w:ascii="Times New Roman" w:hAnsi="Times New Roman" w:cs="Times New Roman"/>
          <w:spacing w:val="-6"/>
          <w:sz w:val="22"/>
          <w:szCs w:val="22"/>
        </w:rPr>
        <w:t xml:space="preserve"> </w:t>
      </w:r>
      <w:r>
        <w:rPr>
          <w:rFonts w:ascii="Times New Roman" w:hAnsi="Times New Roman" w:cs="Times New Roman"/>
          <w:sz w:val="22"/>
          <w:szCs w:val="22"/>
        </w:rPr>
        <w:t>su</w:t>
      </w:r>
      <w:r>
        <w:rPr>
          <w:rFonts w:ascii="Times New Roman" w:hAnsi="Times New Roman" w:cs="Times New Roman"/>
          <w:spacing w:val="-6"/>
          <w:sz w:val="22"/>
          <w:szCs w:val="22"/>
        </w:rPr>
        <w:t xml:space="preserve"> </w:t>
      </w:r>
      <w:r>
        <w:rPr>
          <w:rFonts w:ascii="Times New Roman" w:hAnsi="Times New Roman" w:cs="Times New Roman"/>
          <w:sz w:val="22"/>
          <w:szCs w:val="22"/>
        </w:rPr>
        <w:t>integralidad</w:t>
      </w:r>
      <w:r>
        <w:rPr>
          <w:rFonts w:ascii="Times New Roman" w:hAnsi="Times New Roman" w:cs="Times New Roman"/>
          <w:spacing w:val="-5"/>
          <w:sz w:val="22"/>
          <w:szCs w:val="22"/>
        </w:rPr>
        <w:t xml:space="preserve"> </w:t>
      </w:r>
      <w:r>
        <w:rPr>
          <w:rFonts w:ascii="Times New Roman" w:hAnsi="Times New Roman" w:cs="Times New Roman"/>
          <w:sz w:val="22"/>
          <w:szCs w:val="22"/>
        </w:rPr>
        <w:t>tendrá</w:t>
      </w:r>
      <w:r>
        <w:rPr>
          <w:rFonts w:ascii="Times New Roman" w:hAnsi="Times New Roman" w:cs="Times New Roman"/>
          <w:spacing w:val="-6"/>
          <w:sz w:val="22"/>
          <w:szCs w:val="22"/>
        </w:rPr>
        <w:t xml:space="preserve"> </w:t>
      </w:r>
      <w:r>
        <w:rPr>
          <w:rFonts w:ascii="Times New Roman" w:hAnsi="Times New Roman" w:cs="Times New Roman"/>
          <w:sz w:val="22"/>
          <w:szCs w:val="22"/>
        </w:rPr>
        <w:t>una</w:t>
      </w:r>
      <w:r>
        <w:rPr>
          <w:rFonts w:ascii="Times New Roman" w:hAnsi="Times New Roman" w:cs="Times New Roman"/>
          <w:spacing w:val="-6"/>
          <w:sz w:val="22"/>
          <w:szCs w:val="22"/>
        </w:rPr>
        <w:t xml:space="preserve"> </w:t>
      </w:r>
      <w:r>
        <w:rPr>
          <w:rFonts w:ascii="Times New Roman" w:hAnsi="Times New Roman" w:cs="Times New Roman"/>
          <w:sz w:val="22"/>
          <w:szCs w:val="22"/>
        </w:rPr>
        <w:t>duración</w:t>
      </w:r>
      <w:r>
        <w:rPr>
          <w:rFonts w:ascii="Times New Roman" w:hAnsi="Times New Roman" w:cs="Times New Roman"/>
          <w:spacing w:val="-8"/>
          <w:sz w:val="22"/>
          <w:szCs w:val="22"/>
        </w:rPr>
        <w:t xml:space="preserve"> </w:t>
      </w:r>
      <w:r>
        <w:rPr>
          <w:rFonts w:ascii="Times New Roman" w:hAnsi="Times New Roman" w:cs="Times New Roman"/>
          <w:sz w:val="22"/>
          <w:szCs w:val="22"/>
        </w:rPr>
        <w:t>de</w:t>
      </w:r>
      <w:r>
        <w:rPr>
          <w:rFonts w:ascii="Times New Roman" w:hAnsi="Times New Roman" w:cs="Times New Roman"/>
          <w:spacing w:val="-9"/>
          <w:sz w:val="22"/>
          <w:szCs w:val="22"/>
        </w:rPr>
        <w:t xml:space="preserve"> </w:t>
      </w:r>
      <w:r>
        <w:rPr>
          <w:rFonts w:ascii="Times New Roman" w:hAnsi="Times New Roman" w:cs="Times New Roman"/>
          <w:sz w:val="22"/>
          <w:szCs w:val="22"/>
        </w:rPr>
        <w:t>hasta</w:t>
      </w:r>
      <w:r>
        <w:rPr>
          <w:rFonts w:ascii="Times New Roman" w:hAnsi="Times New Roman" w:cs="Times New Roman"/>
          <w:spacing w:val="-9"/>
          <w:sz w:val="22"/>
          <w:szCs w:val="22"/>
        </w:rPr>
        <w:t xml:space="preserve"> </w:t>
      </w:r>
      <w:r>
        <w:rPr>
          <w:rFonts w:ascii="Times New Roman" w:hAnsi="Times New Roman" w:cs="Times New Roman"/>
          <w:sz w:val="22"/>
          <w:szCs w:val="22"/>
        </w:rPr>
        <w:t>30</w:t>
      </w:r>
      <w:r>
        <w:rPr>
          <w:rFonts w:ascii="Times New Roman" w:hAnsi="Times New Roman" w:cs="Times New Roman"/>
          <w:spacing w:val="-4"/>
          <w:sz w:val="22"/>
          <w:szCs w:val="22"/>
        </w:rPr>
        <w:t xml:space="preserve"> </w:t>
      </w:r>
      <w:r>
        <w:rPr>
          <w:rFonts w:ascii="Times New Roman" w:hAnsi="Times New Roman" w:cs="Times New Roman"/>
          <w:sz w:val="22"/>
          <w:szCs w:val="22"/>
        </w:rPr>
        <w:t>días</w:t>
      </w:r>
      <w:r>
        <w:rPr>
          <w:rFonts w:ascii="Times New Roman" w:hAnsi="Times New Roman" w:cs="Times New Roman"/>
          <w:spacing w:val="-5"/>
          <w:sz w:val="22"/>
          <w:szCs w:val="22"/>
        </w:rPr>
        <w:t xml:space="preserve"> </w:t>
      </w:r>
      <w:r>
        <w:rPr>
          <w:rFonts w:ascii="Times New Roman" w:hAnsi="Times New Roman" w:cs="Times New Roman"/>
          <w:sz w:val="22"/>
          <w:szCs w:val="22"/>
        </w:rPr>
        <w:t>calendario</w:t>
      </w:r>
      <w:r>
        <w:rPr>
          <w:rFonts w:ascii="Times New Roman" w:hAnsi="Times New Roman" w:cs="Times New Roman"/>
          <w:spacing w:val="-7"/>
          <w:sz w:val="22"/>
          <w:szCs w:val="22"/>
        </w:rPr>
        <w:t xml:space="preserve"> </w:t>
      </w:r>
      <w:r>
        <w:rPr>
          <w:rFonts w:ascii="Times New Roman" w:hAnsi="Times New Roman" w:cs="Times New Roman"/>
          <w:sz w:val="22"/>
          <w:szCs w:val="22"/>
        </w:rPr>
        <w:t>para su ejecución, a partir de la firma del contrato.</w:t>
      </w:r>
    </w:p>
    <w:p>
      <w:pPr>
        <w:pStyle w:val="Textoindependiente"/>
        <w:rPr>
          <w:rFonts w:ascii="Times New Roman" w:hAnsi="Times New Roman" w:cs="Times New Roman"/>
          <w:sz w:val="22"/>
          <w:szCs w:val="22"/>
        </w:rPr>
      </w:pPr>
    </w:p>
    <w:p>
      <w:pPr>
        <w:pStyle w:val="Ttulo1"/>
        <w:keepNext w:val="0"/>
        <w:widowControl w:val="0"/>
        <w:numPr>
          <w:ilvl w:val="0"/>
          <w:numId w:val="186"/>
        </w:numPr>
        <w:tabs>
          <w:tab w:val="clear" w:pos="1422"/>
          <w:tab w:val="left" w:pos="565"/>
        </w:tabs>
        <w:autoSpaceDE w:val="0"/>
        <w:autoSpaceDN w:val="0"/>
        <w:ind w:left="565" w:hanging="277"/>
        <w:rPr>
          <w:rFonts w:ascii="Times New Roman" w:hAnsi="Times New Roman" w:cs="Times New Roman"/>
          <w:sz w:val="22"/>
          <w:szCs w:val="22"/>
        </w:rPr>
      </w:pPr>
      <w:r>
        <w:rPr>
          <w:rFonts w:ascii="Times New Roman" w:hAnsi="Times New Roman" w:cs="Times New Roman"/>
          <w:spacing w:val="-2"/>
          <w:sz w:val="22"/>
          <w:szCs w:val="22"/>
        </w:rPr>
        <w:t>PRESUPUESTO</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REFERENCIAL</w:t>
      </w:r>
    </w:p>
    <w:p>
      <w:pPr>
        <w:pStyle w:val="Textoindependiente"/>
        <w:rPr>
          <w:rFonts w:ascii="Times New Roman" w:hAnsi="Times New Roman" w:cs="Times New Roman"/>
          <w:b/>
          <w:sz w:val="22"/>
          <w:szCs w:val="22"/>
        </w:rPr>
      </w:pPr>
    </w:p>
    <w:p>
      <w:pPr>
        <w:pStyle w:val="Textoindependiente"/>
        <w:ind w:left="288"/>
        <w:rPr>
          <w:rFonts w:ascii="Times New Roman" w:hAnsi="Times New Roman" w:cs="Times New Roman"/>
          <w:spacing w:val="-4"/>
          <w:sz w:val="22"/>
          <w:szCs w:val="22"/>
        </w:rPr>
      </w:pPr>
      <w:r>
        <w:rPr>
          <w:rFonts w:ascii="Times New Roman" w:hAnsi="Times New Roman" w:cs="Times New Roman"/>
          <w:spacing w:val="-2"/>
          <w:sz w:val="22"/>
          <w:szCs w:val="22"/>
        </w:rPr>
        <w:t>El</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presupuesto</w:t>
      </w:r>
      <w:r>
        <w:rPr>
          <w:rFonts w:ascii="Times New Roman" w:hAnsi="Times New Roman" w:cs="Times New Roman"/>
          <w:spacing w:val="-1"/>
          <w:sz w:val="22"/>
          <w:szCs w:val="22"/>
        </w:rPr>
        <w:t xml:space="preserve"> </w:t>
      </w:r>
      <w:r>
        <w:rPr>
          <w:rFonts w:ascii="Times New Roman" w:hAnsi="Times New Roman" w:cs="Times New Roman"/>
          <w:spacing w:val="-2"/>
          <w:sz w:val="22"/>
          <w:szCs w:val="22"/>
        </w:rPr>
        <w:t>referencial</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es</w:t>
      </w:r>
      <w:r>
        <w:rPr>
          <w:rFonts w:ascii="Times New Roman" w:hAnsi="Times New Roman" w:cs="Times New Roman"/>
          <w:spacing w:val="1"/>
          <w:sz w:val="22"/>
          <w:szCs w:val="22"/>
        </w:rPr>
        <w:t xml:space="preserve"> </w:t>
      </w:r>
      <w:r>
        <w:rPr>
          <w:rFonts w:ascii="Times New Roman" w:hAnsi="Times New Roman" w:cs="Times New Roman"/>
          <w:spacing w:val="-2"/>
          <w:sz w:val="22"/>
          <w:szCs w:val="22"/>
        </w:rPr>
        <w:t>de</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USD</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w:t>
      </w:r>
      <w:r>
        <w:rPr>
          <w:rFonts w:ascii="Times New Roman" w:hAnsi="Times New Roman" w:cs="Times New Roman"/>
          <w:spacing w:val="-6"/>
          <w:sz w:val="22"/>
          <w:szCs w:val="22"/>
        </w:rPr>
        <w:t xml:space="preserve"> </w:t>
      </w:r>
      <w:r>
        <w:rPr>
          <w:rFonts w:ascii="Times New Roman" w:hAnsi="Times New Roman" w:cs="Times New Roman"/>
          <w:spacing w:val="-2"/>
          <w:sz w:val="22"/>
          <w:szCs w:val="22"/>
        </w:rPr>
        <w:t>9.442,00</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no</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grava</w:t>
      </w:r>
      <w:r>
        <w:rPr>
          <w:rFonts w:ascii="Times New Roman" w:hAnsi="Times New Roman" w:cs="Times New Roman"/>
          <w:spacing w:val="-3"/>
          <w:sz w:val="22"/>
          <w:szCs w:val="22"/>
        </w:rPr>
        <w:t xml:space="preserve"> </w:t>
      </w:r>
      <w:r>
        <w:rPr>
          <w:rFonts w:ascii="Times New Roman" w:hAnsi="Times New Roman" w:cs="Times New Roman"/>
          <w:spacing w:val="-4"/>
          <w:sz w:val="22"/>
          <w:szCs w:val="22"/>
        </w:rPr>
        <w:t>IVA.</w:t>
      </w:r>
    </w:p>
    <w:p>
      <w:pPr>
        <w:pStyle w:val="Textoindependiente"/>
        <w:ind w:left="288"/>
        <w:rPr>
          <w:rFonts w:ascii="Times New Roman" w:hAnsi="Times New Roman" w:cs="Times New Roman"/>
          <w:sz w:val="22"/>
          <w:szCs w:val="22"/>
        </w:rPr>
      </w:pPr>
    </w:p>
    <w:p>
      <w:pPr>
        <w:pStyle w:val="Ttulo1"/>
        <w:keepNext w:val="0"/>
        <w:widowControl w:val="0"/>
        <w:numPr>
          <w:ilvl w:val="0"/>
          <w:numId w:val="186"/>
        </w:numPr>
        <w:tabs>
          <w:tab w:val="clear" w:pos="1422"/>
          <w:tab w:val="left" w:pos="565"/>
        </w:tabs>
        <w:autoSpaceDE w:val="0"/>
        <w:autoSpaceDN w:val="0"/>
        <w:ind w:left="565" w:hanging="277"/>
        <w:rPr>
          <w:rFonts w:ascii="Times New Roman" w:hAnsi="Times New Roman" w:cs="Times New Roman"/>
          <w:sz w:val="22"/>
          <w:szCs w:val="22"/>
        </w:rPr>
      </w:pPr>
      <w:r>
        <w:rPr>
          <w:rFonts w:ascii="Times New Roman" w:hAnsi="Times New Roman" w:cs="Times New Roman"/>
          <w:sz w:val="22"/>
          <w:szCs w:val="22"/>
        </w:rPr>
        <w:t>FORMA</w:t>
      </w:r>
      <w:r>
        <w:rPr>
          <w:rFonts w:ascii="Times New Roman" w:hAnsi="Times New Roman" w:cs="Times New Roman"/>
          <w:spacing w:val="-6"/>
          <w:sz w:val="22"/>
          <w:szCs w:val="22"/>
        </w:rPr>
        <w:t xml:space="preserve"> </w:t>
      </w:r>
      <w:r>
        <w:rPr>
          <w:rFonts w:ascii="Times New Roman" w:hAnsi="Times New Roman" w:cs="Times New Roman"/>
          <w:sz w:val="22"/>
          <w:szCs w:val="22"/>
        </w:rPr>
        <w:t>Y</w:t>
      </w:r>
      <w:r>
        <w:rPr>
          <w:rFonts w:ascii="Times New Roman" w:hAnsi="Times New Roman" w:cs="Times New Roman"/>
          <w:spacing w:val="-6"/>
          <w:sz w:val="22"/>
          <w:szCs w:val="22"/>
        </w:rPr>
        <w:t xml:space="preserve"> </w:t>
      </w:r>
      <w:r>
        <w:rPr>
          <w:rFonts w:ascii="Times New Roman" w:hAnsi="Times New Roman" w:cs="Times New Roman"/>
          <w:sz w:val="22"/>
          <w:szCs w:val="22"/>
        </w:rPr>
        <w:t>CONDICIONES</w:t>
      </w:r>
      <w:r>
        <w:rPr>
          <w:rFonts w:ascii="Times New Roman" w:hAnsi="Times New Roman" w:cs="Times New Roman"/>
          <w:spacing w:val="-9"/>
          <w:sz w:val="22"/>
          <w:szCs w:val="22"/>
        </w:rPr>
        <w:t xml:space="preserve"> </w:t>
      </w:r>
      <w:r>
        <w:rPr>
          <w:rFonts w:ascii="Times New Roman" w:hAnsi="Times New Roman" w:cs="Times New Roman"/>
          <w:sz w:val="22"/>
          <w:szCs w:val="22"/>
        </w:rPr>
        <w:t>DE</w:t>
      </w:r>
      <w:r>
        <w:rPr>
          <w:rFonts w:ascii="Times New Roman" w:hAnsi="Times New Roman" w:cs="Times New Roman"/>
          <w:spacing w:val="-1"/>
          <w:sz w:val="22"/>
          <w:szCs w:val="22"/>
        </w:rPr>
        <w:t xml:space="preserve"> </w:t>
      </w:r>
      <w:r>
        <w:rPr>
          <w:rFonts w:ascii="Times New Roman" w:hAnsi="Times New Roman" w:cs="Times New Roman"/>
          <w:spacing w:val="-4"/>
          <w:sz w:val="22"/>
          <w:szCs w:val="22"/>
        </w:rPr>
        <w:t>PAGO</w:t>
      </w:r>
    </w:p>
    <w:p>
      <w:pPr>
        <w:pStyle w:val="Textoindependiente"/>
        <w:rPr>
          <w:rFonts w:ascii="Times New Roman" w:hAnsi="Times New Roman" w:cs="Times New Roman"/>
          <w:b/>
          <w:sz w:val="22"/>
          <w:szCs w:val="22"/>
        </w:rPr>
      </w:pPr>
    </w:p>
    <w:p>
      <w:pPr>
        <w:pStyle w:val="Textoindependiente"/>
        <w:ind w:left="288"/>
        <w:jc w:val="both"/>
        <w:rPr>
          <w:rFonts w:ascii="Times New Roman" w:hAnsi="Times New Roman" w:cs="Times New Roman"/>
          <w:sz w:val="22"/>
          <w:szCs w:val="22"/>
        </w:rPr>
      </w:pPr>
      <w:r>
        <w:rPr>
          <w:rFonts w:ascii="Times New Roman" w:hAnsi="Times New Roman" w:cs="Times New Roman"/>
          <w:spacing w:val="-2"/>
          <w:sz w:val="22"/>
          <w:szCs w:val="22"/>
        </w:rPr>
        <w:t>El</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100%</w:t>
      </w:r>
      <w:r>
        <w:rPr>
          <w:rFonts w:ascii="Times New Roman" w:hAnsi="Times New Roman" w:cs="Times New Roman"/>
          <w:spacing w:val="-6"/>
          <w:sz w:val="22"/>
          <w:szCs w:val="22"/>
        </w:rPr>
        <w:t xml:space="preserve"> </w:t>
      </w:r>
      <w:r>
        <w:rPr>
          <w:rFonts w:ascii="Times New Roman" w:hAnsi="Times New Roman" w:cs="Times New Roman"/>
          <w:spacing w:val="-2"/>
          <w:sz w:val="22"/>
          <w:szCs w:val="22"/>
        </w:rPr>
        <w:t>del</w:t>
      </w:r>
      <w:r>
        <w:rPr>
          <w:rFonts w:ascii="Times New Roman" w:hAnsi="Times New Roman" w:cs="Times New Roman"/>
          <w:spacing w:val="-6"/>
          <w:sz w:val="22"/>
          <w:szCs w:val="22"/>
        </w:rPr>
        <w:t xml:space="preserve"> </w:t>
      </w:r>
      <w:r>
        <w:rPr>
          <w:rFonts w:ascii="Times New Roman" w:hAnsi="Times New Roman" w:cs="Times New Roman"/>
          <w:spacing w:val="-2"/>
          <w:sz w:val="22"/>
          <w:szCs w:val="22"/>
        </w:rPr>
        <w:t>contrato</w:t>
      </w:r>
      <w:r>
        <w:rPr>
          <w:rFonts w:ascii="Times New Roman" w:hAnsi="Times New Roman" w:cs="Times New Roman"/>
          <w:spacing w:val="-8"/>
          <w:sz w:val="22"/>
          <w:szCs w:val="22"/>
        </w:rPr>
        <w:t xml:space="preserve"> </w:t>
      </w:r>
      <w:r>
        <w:rPr>
          <w:rFonts w:ascii="Times New Roman" w:hAnsi="Times New Roman" w:cs="Times New Roman"/>
          <w:spacing w:val="-2"/>
          <w:sz w:val="22"/>
          <w:szCs w:val="22"/>
        </w:rPr>
        <w:t>será</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pagado</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contraentrega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de</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los</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servicios</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prestados</w:t>
      </w:r>
      <w:r>
        <w:rPr>
          <w:rFonts w:ascii="Times New Roman" w:hAnsi="Times New Roman" w:cs="Times New Roman"/>
          <w:spacing w:val="-1"/>
          <w:sz w:val="22"/>
          <w:szCs w:val="22"/>
        </w:rPr>
        <w:t xml:space="preserve"> </w:t>
      </w:r>
      <w:r>
        <w:rPr>
          <w:rFonts w:ascii="Times New Roman" w:hAnsi="Times New Roman" w:cs="Times New Roman"/>
          <w:spacing w:val="-2"/>
          <w:sz w:val="22"/>
          <w:szCs w:val="22"/>
        </w:rPr>
        <w:t>previo</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la presentación</w:t>
      </w:r>
      <w:r>
        <w:rPr>
          <w:rFonts w:ascii="Times New Roman" w:hAnsi="Times New Roman" w:cs="Times New Roman"/>
          <w:sz w:val="22"/>
          <w:szCs w:val="22"/>
        </w:rPr>
        <w:t xml:space="preserve"> de la factura correspondiente, el informe de actividades por parte del Contratista con sus respectivos respaldos; el informe de satisfacción del Administrador del Contrato y Acta de Entrega Recepción Definitiva debidamente suscritos.</w:t>
      </w:r>
    </w:p>
    <w:p>
      <w:pPr>
        <w:pStyle w:val="Textoindependiente"/>
        <w:ind w:left="288"/>
        <w:jc w:val="both"/>
        <w:rPr>
          <w:rFonts w:ascii="Times New Roman" w:hAnsi="Times New Roman" w:cs="Times New Roman"/>
          <w:sz w:val="22"/>
          <w:szCs w:val="22"/>
        </w:rPr>
      </w:pPr>
    </w:p>
    <w:p>
      <w:pPr>
        <w:pStyle w:val="Ttulo1"/>
        <w:keepNext w:val="0"/>
        <w:widowControl w:val="0"/>
        <w:numPr>
          <w:ilvl w:val="0"/>
          <w:numId w:val="186"/>
        </w:numPr>
        <w:tabs>
          <w:tab w:val="clear" w:pos="1422"/>
          <w:tab w:val="left" w:pos="566"/>
        </w:tabs>
        <w:autoSpaceDE w:val="0"/>
        <w:autoSpaceDN w:val="0"/>
        <w:rPr>
          <w:rFonts w:ascii="Times New Roman" w:hAnsi="Times New Roman" w:cs="Times New Roman"/>
          <w:sz w:val="22"/>
          <w:szCs w:val="22"/>
        </w:rPr>
      </w:pPr>
      <w:r>
        <w:rPr>
          <w:rFonts w:ascii="Times New Roman" w:hAnsi="Times New Roman" w:cs="Times New Roman"/>
          <w:sz w:val="22"/>
          <w:szCs w:val="22"/>
        </w:rPr>
        <w:t>RECURSOS</w:t>
      </w:r>
      <w:r>
        <w:rPr>
          <w:rFonts w:ascii="Times New Roman" w:hAnsi="Times New Roman" w:cs="Times New Roman"/>
          <w:spacing w:val="-3"/>
          <w:sz w:val="22"/>
          <w:szCs w:val="22"/>
        </w:rPr>
        <w:t xml:space="preserve"> </w:t>
      </w:r>
      <w:r>
        <w:rPr>
          <w:rFonts w:ascii="Times New Roman" w:hAnsi="Times New Roman" w:cs="Times New Roman"/>
          <w:sz w:val="22"/>
          <w:szCs w:val="22"/>
        </w:rPr>
        <w:t>Y</w:t>
      </w:r>
      <w:r>
        <w:rPr>
          <w:rFonts w:ascii="Times New Roman" w:hAnsi="Times New Roman" w:cs="Times New Roman"/>
          <w:spacing w:val="-2"/>
          <w:sz w:val="22"/>
          <w:szCs w:val="22"/>
        </w:rPr>
        <w:t xml:space="preserve"> FACILIDADES</w:t>
      </w:r>
    </w:p>
    <w:p>
      <w:pPr>
        <w:pStyle w:val="Textoindependiente"/>
        <w:rPr>
          <w:rFonts w:ascii="Times New Roman" w:hAnsi="Times New Roman" w:cs="Times New Roman"/>
          <w:b/>
          <w:sz w:val="22"/>
          <w:szCs w:val="22"/>
        </w:rPr>
      </w:pPr>
    </w:p>
    <w:p>
      <w:pPr>
        <w:pStyle w:val="Textoindependiente"/>
        <w:ind w:left="283" w:right="278" w:firstLine="4"/>
        <w:jc w:val="both"/>
        <w:rPr>
          <w:rFonts w:ascii="Times New Roman" w:hAnsi="Times New Roman" w:cs="Times New Roman"/>
          <w:sz w:val="22"/>
          <w:szCs w:val="22"/>
        </w:rPr>
      </w:pPr>
      <w:r>
        <w:rPr>
          <w:rFonts w:ascii="Times New Roman" w:hAnsi="Times New Roman" w:cs="Times New Roman"/>
          <w:sz w:val="22"/>
          <w:szCs w:val="22"/>
        </w:rPr>
        <w:t xml:space="preserve">La Procuraduría General del Estado a través del Administrador de Contrato proveerá de la lista </w:t>
      </w:r>
      <w:r>
        <w:rPr>
          <w:rFonts w:ascii="Times New Roman" w:hAnsi="Times New Roman" w:cs="Times New Roman"/>
          <w:spacing w:val="-2"/>
          <w:sz w:val="22"/>
          <w:szCs w:val="22"/>
        </w:rPr>
        <w:t>de asistentes a</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la</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capacitación</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y</w:t>
      </w:r>
      <w:r>
        <w:rPr>
          <w:rFonts w:ascii="Times New Roman" w:hAnsi="Times New Roman" w:cs="Times New Roman"/>
          <w:spacing w:val="-10"/>
          <w:sz w:val="22"/>
          <w:szCs w:val="22"/>
        </w:rPr>
        <w:t xml:space="preserve"> </w:t>
      </w:r>
      <w:r>
        <w:rPr>
          <w:rFonts w:ascii="Times New Roman" w:hAnsi="Times New Roman" w:cs="Times New Roman"/>
          <w:spacing w:val="-2"/>
          <w:sz w:val="22"/>
          <w:szCs w:val="22"/>
        </w:rPr>
        <w:t>demás información</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que</w:t>
      </w:r>
      <w:r>
        <w:rPr>
          <w:rFonts w:ascii="Times New Roman" w:hAnsi="Times New Roman" w:cs="Times New Roman"/>
          <w:spacing w:val="-6"/>
          <w:sz w:val="22"/>
          <w:szCs w:val="22"/>
        </w:rPr>
        <w:t xml:space="preserve"> </w:t>
      </w:r>
      <w:r>
        <w:rPr>
          <w:rFonts w:ascii="Times New Roman" w:hAnsi="Times New Roman" w:cs="Times New Roman"/>
          <w:spacing w:val="-2"/>
          <w:sz w:val="22"/>
          <w:szCs w:val="22"/>
        </w:rPr>
        <w:t>sea</w:t>
      </w:r>
      <w:r>
        <w:rPr>
          <w:rFonts w:ascii="Times New Roman" w:hAnsi="Times New Roman" w:cs="Times New Roman"/>
          <w:spacing w:val="-6"/>
          <w:sz w:val="22"/>
          <w:szCs w:val="22"/>
        </w:rPr>
        <w:t xml:space="preserve"> </w:t>
      </w:r>
      <w:r>
        <w:rPr>
          <w:rFonts w:ascii="Times New Roman" w:hAnsi="Times New Roman" w:cs="Times New Roman"/>
          <w:spacing w:val="-2"/>
          <w:sz w:val="22"/>
          <w:szCs w:val="22"/>
        </w:rPr>
        <w:t>necesaria</w:t>
      </w:r>
      <w:r>
        <w:rPr>
          <w:rFonts w:ascii="Times New Roman" w:hAnsi="Times New Roman" w:cs="Times New Roman"/>
          <w:spacing w:val="-10"/>
          <w:sz w:val="22"/>
          <w:szCs w:val="22"/>
        </w:rPr>
        <w:t xml:space="preserve"> </w:t>
      </w:r>
      <w:r>
        <w:rPr>
          <w:rFonts w:ascii="Times New Roman" w:hAnsi="Times New Roman" w:cs="Times New Roman"/>
          <w:spacing w:val="-2"/>
          <w:sz w:val="22"/>
          <w:szCs w:val="22"/>
        </w:rPr>
        <w:t>para</w:t>
      </w:r>
      <w:r>
        <w:rPr>
          <w:rFonts w:ascii="Times New Roman" w:hAnsi="Times New Roman" w:cs="Times New Roman"/>
          <w:spacing w:val="-6"/>
          <w:sz w:val="22"/>
          <w:szCs w:val="22"/>
        </w:rPr>
        <w:t xml:space="preserve"> </w:t>
      </w:r>
      <w:r>
        <w:rPr>
          <w:rFonts w:ascii="Times New Roman" w:hAnsi="Times New Roman" w:cs="Times New Roman"/>
          <w:spacing w:val="-2"/>
          <w:sz w:val="22"/>
          <w:szCs w:val="22"/>
        </w:rPr>
        <w:t>la</w:t>
      </w:r>
      <w:r>
        <w:rPr>
          <w:rFonts w:ascii="Times New Roman" w:hAnsi="Times New Roman" w:cs="Times New Roman"/>
          <w:spacing w:val="-6"/>
          <w:sz w:val="22"/>
          <w:szCs w:val="22"/>
        </w:rPr>
        <w:t xml:space="preserve"> </w:t>
      </w:r>
      <w:r>
        <w:rPr>
          <w:rFonts w:ascii="Times New Roman" w:hAnsi="Times New Roman" w:cs="Times New Roman"/>
          <w:spacing w:val="-2"/>
          <w:sz w:val="22"/>
          <w:szCs w:val="22"/>
        </w:rPr>
        <w:t xml:space="preserve">adecuada ejecución </w:t>
      </w:r>
      <w:r>
        <w:rPr>
          <w:rFonts w:ascii="Times New Roman" w:hAnsi="Times New Roman" w:cs="Times New Roman"/>
          <w:sz w:val="22"/>
          <w:szCs w:val="22"/>
        </w:rPr>
        <w:t>del contrato.</w:t>
      </w:r>
    </w:p>
    <w:p>
      <w:pPr>
        <w:pStyle w:val="Textoindependiente"/>
        <w:ind w:left="283" w:right="278" w:firstLine="4"/>
        <w:jc w:val="both"/>
        <w:rPr>
          <w:rFonts w:ascii="Times New Roman" w:hAnsi="Times New Roman" w:cs="Times New Roman"/>
          <w:sz w:val="22"/>
          <w:szCs w:val="22"/>
        </w:rPr>
      </w:pPr>
    </w:p>
    <w:p>
      <w:pPr>
        <w:pStyle w:val="Ttulo1"/>
        <w:keepNext w:val="0"/>
        <w:widowControl w:val="0"/>
        <w:numPr>
          <w:ilvl w:val="0"/>
          <w:numId w:val="186"/>
        </w:numPr>
        <w:tabs>
          <w:tab w:val="clear" w:pos="1422"/>
          <w:tab w:val="left" w:pos="710"/>
        </w:tabs>
        <w:autoSpaceDE w:val="0"/>
        <w:autoSpaceDN w:val="0"/>
        <w:ind w:left="710" w:hanging="422"/>
        <w:rPr>
          <w:rFonts w:ascii="Times New Roman" w:hAnsi="Times New Roman" w:cs="Times New Roman"/>
          <w:sz w:val="22"/>
          <w:szCs w:val="22"/>
        </w:rPr>
      </w:pPr>
      <w:r>
        <w:rPr>
          <w:rFonts w:ascii="Times New Roman" w:hAnsi="Times New Roman" w:cs="Times New Roman"/>
          <w:sz w:val="22"/>
          <w:szCs w:val="22"/>
        </w:rPr>
        <w:t>ADMINISTRADOR</w:t>
      </w:r>
      <w:r>
        <w:rPr>
          <w:rFonts w:ascii="Times New Roman" w:hAnsi="Times New Roman" w:cs="Times New Roman"/>
          <w:spacing w:val="-11"/>
          <w:sz w:val="22"/>
          <w:szCs w:val="22"/>
        </w:rPr>
        <w:t xml:space="preserve"> </w:t>
      </w:r>
      <w:r>
        <w:rPr>
          <w:rFonts w:ascii="Times New Roman" w:hAnsi="Times New Roman" w:cs="Times New Roman"/>
          <w:sz w:val="22"/>
          <w:szCs w:val="22"/>
        </w:rPr>
        <w:t>DE</w:t>
      </w:r>
      <w:r>
        <w:rPr>
          <w:rFonts w:ascii="Times New Roman" w:hAnsi="Times New Roman" w:cs="Times New Roman"/>
          <w:spacing w:val="-8"/>
          <w:sz w:val="22"/>
          <w:szCs w:val="22"/>
        </w:rPr>
        <w:t xml:space="preserve"> </w:t>
      </w:r>
      <w:r>
        <w:rPr>
          <w:rFonts w:ascii="Times New Roman" w:hAnsi="Times New Roman" w:cs="Times New Roman"/>
          <w:spacing w:val="-2"/>
          <w:sz w:val="22"/>
          <w:szCs w:val="22"/>
        </w:rPr>
        <w:t>CONTRATO</w:t>
      </w:r>
    </w:p>
    <w:p>
      <w:pPr>
        <w:pStyle w:val="Textoindependiente"/>
        <w:rPr>
          <w:rFonts w:ascii="Times New Roman" w:hAnsi="Times New Roman" w:cs="Times New Roman"/>
          <w:b/>
          <w:sz w:val="22"/>
          <w:szCs w:val="22"/>
        </w:rPr>
      </w:pPr>
    </w:p>
    <w:p>
      <w:pPr>
        <w:pStyle w:val="Textoindependiente"/>
        <w:ind w:left="283" w:right="284" w:firstLine="4"/>
        <w:jc w:val="both"/>
        <w:rPr>
          <w:rFonts w:ascii="Times New Roman" w:hAnsi="Times New Roman" w:cs="Times New Roman"/>
          <w:sz w:val="22"/>
          <w:szCs w:val="22"/>
        </w:rPr>
      </w:pPr>
      <w:r>
        <w:rPr>
          <w:rFonts w:ascii="Times New Roman" w:hAnsi="Times New Roman" w:cs="Times New Roman"/>
          <w:sz w:val="22"/>
          <w:szCs w:val="22"/>
        </w:rPr>
        <w:t>El seguimiento del cumplimiento de las actividades contractuales, aprobación de las mismas y solicitud</w:t>
      </w:r>
      <w:r>
        <w:rPr>
          <w:rFonts w:ascii="Times New Roman" w:hAnsi="Times New Roman" w:cs="Times New Roman"/>
          <w:spacing w:val="35"/>
          <w:sz w:val="22"/>
          <w:szCs w:val="22"/>
        </w:rPr>
        <w:t xml:space="preserve"> </w:t>
      </w:r>
      <w:r>
        <w:rPr>
          <w:rFonts w:ascii="Times New Roman" w:hAnsi="Times New Roman" w:cs="Times New Roman"/>
          <w:sz w:val="22"/>
          <w:szCs w:val="22"/>
        </w:rPr>
        <w:t>del</w:t>
      </w:r>
      <w:r>
        <w:rPr>
          <w:rFonts w:ascii="Times New Roman" w:hAnsi="Times New Roman" w:cs="Times New Roman"/>
          <w:spacing w:val="34"/>
          <w:sz w:val="22"/>
          <w:szCs w:val="22"/>
        </w:rPr>
        <w:t xml:space="preserve"> </w:t>
      </w:r>
      <w:r>
        <w:rPr>
          <w:rFonts w:ascii="Times New Roman" w:hAnsi="Times New Roman" w:cs="Times New Roman"/>
          <w:sz w:val="22"/>
          <w:szCs w:val="22"/>
        </w:rPr>
        <w:t>pago</w:t>
      </w:r>
      <w:r>
        <w:rPr>
          <w:rFonts w:ascii="Times New Roman" w:hAnsi="Times New Roman" w:cs="Times New Roman"/>
          <w:spacing w:val="34"/>
          <w:sz w:val="22"/>
          <w:szCs w:val="22"/>
        </w:rPr>
        <w:t xml:space="preserve"> </w:t>
      </w:r>
      <w:r>
        <w:rPr>
          <w:rFonts w:ascii="Times New Roman" w:hAnsi="Times New Roman" w:cs="Times New Roman"/>
          <w:sz w:val="22"/>
          <w:szCs w:val="22"/>
        </w:rPr>
        <w:t>correspondiente</w:t>
      </w:r>
      <w:r>
        <w:rPr>
          <w:rFonts w:ascii="Times New Roman" w:hAnsi="Times New Roman" w:cs="Times New Roman"/>
          <w:spacing w:val="34"/>
          <w:sz w:val="22"/>
          <w:szCs w:val="22"/>
        </w:rPr>
        <w:t xml:space="preserve"> </w:t>
      </w:r>
      <w:r>
        <w:rPr>
          <w:rFonts w:ascii="Times New Roman" w:hAnsi="Times New Roman" w:cs="Times New Roman"/>
          <w:sz w:val="22"/>
          <w:szCs w:val="22"/>
        </w:rPr>
        <w:t>por</w:t>
      </w:r>
      <w:r>
        <w:rPr>
          <w:rFonts w:ascii="Times New Roman" w:hAnsi="Times New Roman" w:cs="Times New Roman"/>
          <w:spacing w:val="36"/>
          <w:sz w:val="22"/>
          <w:szCs w:val="22"/>
        </w:rPr>
        <w:t xml:space="preserve"> </w:t>
      </w:r>
      <w:r>
        <w:rPr>
          <w:rFonts w:ascii="Times New Roman" w:hAnsi="Times New Roman" w:cs="Times New Roman"/>
          <w:sz w:val="22"/>
          <w:szCs w:val="22"/>
        </w:rPr>
        <w:t>el</w:t>
      </w:r>
      <w:r>
        <w:rPr>
          <w:rFonts w:ascii="Times New Roman" w:hAnsi="Times New Roman" w:cs="Times New Roman"/>
          <w:spacing w:val="34"/>
          <w:sz w:val="22"/>
          <w:szCs w:val="22"/>
        </w:rPr>
        <w:t xml:space="preserve"> </w:t>
      </w:r>
      <w:r>
        <w:rPr>
          <w:rFonts w:ascii="Times New Roman" w:hAnsi="Times New Roman" w:cs="Times New Roman"/>
          <w:sz w:val="22"/>
          <w:szCs w:val="22"/>
        </w:rPr>
        <w:t>servicio</w:t>
      </w:r>
      <w:r>
        <w:rPr>
          <w:rFonts w:ascii="Times New Roman" w:hAnsi="Times New Roman" w:cs="Times New Roman"/>
          <w:spacing w:val="32"/>
          <w:sz w:val="22"/>
          <w:szCs w:val="22"/>
        </w:rPr>
        <w:t xml:space="preserve"> </w:t>
      </w:r>
      <w:r>
        <w:rPr>
          <w:rFonts w:ascii="Times New Roman" w:hAnsi="Times New Roman" w:cs="Times New Roman"/>
          <w:sz w:val="22"/>
          <w:szCs w:val="22"/>
        </w:rPr>
        <w:t>prestado,</w:t>
      </w:r>
      <w:r>
        <w:rPr>
          <w:rFonts w:ascii="Times New Roman" w:hAnsi="Times New Roman" w:cs="Times New Roman"/>
          <w:spacing w:val="34"/>
          <w:sz w:val="22"/>
          <w:szCs w:val="22"/>
        </w:rPr>
        <w:t xml:space="preserve"> </w:t>
      </w:r>
      <w:r>
        <w:rPr>
          <w:rFonts w:ascii="Times New Roman" w:hAnsi="Times New Roman" w:cs="Times New Roman"/>
          <w:sz w:val="22"/>
          <w:szCs w:val="22"/>
        </w:rPr>
        <w:t>estará</w:t>
      </w:r>
      <w:r>
        <w:rPr>
          <w:rFonts w:ascii="Times New Roman" w:hAnsi="Times New Roman" w:cs="Times New Roman"/>
          <w:spacing w:val="32"/>
          <w:sz w:val="22"/>
          <w:szCs w:val="22"/>
        </w:rPr>
        <w:t xml:space="preserve"> </w:t>
      </w:r>
      <w:r>
        <w:rPr>
          <w:rFonts w:ascii="Times New Roman" w:hAnsi="Times New Roman" w:cs="Times New Roman"/>
          <w:sz w:val="22"/>
          <w:szCs w:val="22"/>
        </w:rPr>
        <w:t>cargo</w:t>
      </w:r>
      <w:r>
        <w:rPr>
          <w:rFonts w:ascii="Times New Roman" w:hAnsi="Times New Roman" w:cs="Times New Roman"/>
          <w:spacing w:val="34"/>
          <w:sz w:val="22"/>
          <w:szCs w:val="22"/>
        </w:rPr>
        <w:t xml:space="preserve"> </w:t>
      </w:r>
      <w:r>
        <w:rPr>
          <w:rFonts w:ascii="Times New Roman" w:hAnsi="Times New Roman" w:cs="Times New Roman"/>
          <w:sz w:val="22"/>
          <w:szCs w:val="22"/>
        </w:rPr>
        <w:t>del</w:t>
      </w:r>
      <w:r>
        <w:rPr>
          <w:rFonts w:ascii="Times New Roman" w:hAnsi="Times New Roman" w:cs="Times New Roman"/>
          <w:spacing w:val="34"/>
          <w:sz w:val="22"/>
          <w:szCs w:val="22"/>
        </w:rPr>
        <w:t xml:space="preserve"> </w:t>
      </w:r>
      <w:r>
        <w:rPr>
          <w:rFonts w:ascii="Times New Roman" w:hAnsi="Times New Roman" w:cs="Times New Roman"/>
          <w:sz w:val="22"/>
          <w:szCs w:val="22"/>
        </w:rPr>
        <w:t>servidor</w:t>
      </w:r>
      <w:r>
        <w:rPr>
          <w:rFonts w:ascii="Times New Roman" w:hAnsi="Times New Roman" w:cs="Times New Roman"/>
          <w:spacing w:val="33"/>
          <w:sz w:val="22"/>
          <w:szCs w:val="22"/>
        </w:rPr>
        <w:t xml:space="preserve"> </w:t>
      </w:r>
      <w:r>
        <w:rPr>
          <w:rFonts w:ascii="Times New Roman" w:hAnsi="Times New Roman" w:cs="Times New Roman"/>
          <w:sz w:val="22"/>
          <w:szCs w:val="22"/>
        </w:rPr>
        <w:t>de</w:t>
      </w:r>
      <w:r>
        <w:rPr>
          <w:rFonts w:ascii="Times New Roman" w:hAnsi="Times New Roman" w:cs="Times New Roman"/>
          <w:spacing w:val="34"/>
          <w:sz w:val="22"/>
          <w:szCs w:val="22"/>
        </w:rPr>
        <w:t xml:space="preserve"> </w:t>
      </w:r>
      <w:r>
        <w:rPr>
          <w:rFonts w:ascii="Times New Roman" w:hAnsi="Times New Roman" w:cs="Times New Roman"/>
          <w:sz w:val="22"/>
          <w:szCs w:val="22"/>
        </w:rPr>
        <w:t>la Procuraduría</w:t>
      </w:r>
      <w:r>
        <w:rPr>
          <w:rFonts w:ascii="Times New Roman" w:hAnsi="Times New Roman" w:cs="Times New Roman"/>
          <w:spacing w:val="-7"/>
          <w:sz w:val="22"/>
          <w:szCs w:val="22"/>
        </w:rPr>
        <w:t xml:space="preserve"> </w:t>
      </w:r>
      <w:r>
        <w:rPr>
          <w:rFonts w:ascii="Times New Roman" w:hAnsi="Times New Roman" w:cs="Times New Roman"/>
          <w:sz w:val="22"/>
          <w:szCs w:val="22"/>
        </w:rPr>
        <w:t>General</w:t>
      </w:r>
      <w:r>
        <w:rPr>
          <w:rFonts w:ascii="Times New Roman" w:hAnsi="Times New Roman" w:cs="Times New Roman"/>
          <w:spacing w:val="-5"/>
          <w:sz w:val="22"/>
          <w:szCs w:val="22"/>
        </w:rPr>
        <w:t xml:space="preserve"> </w:t>
      </w:r>
      <w:r>
        <w:rPr>
          <w:rFonts w:ascii="Times New Roman" w:hAnsi="Times New Roman" w:cs="Times New Roman"/>
          <w:sz w:val="22"/>
          <w:szCs w:val="22"/>
        </w:rPr>
        <w:t>del</w:t>
      </w:r>
      <w:r>
        <w:rPr>
          <w:rFonts w:ascii="Times New Roman" w:hAnsi="Times New Roman" w:cs="Times New Roman"/>
          <w:spacing w:val="-7"/>
          <w:sz w:val="22"/>
          <w:szCs w:val="22"/>
        </w:rPr>
        <w:t xml:space="preserve"> </w:t>
      </w:r>
      <w:r>
        <w:rPr>
          <w:rFonts w:ascii="Times New Roman" w:hAnsi="Times New Roman" w:cs="Times New Roman"/>
          <w:sz w:val="22"/>
          <w:szCs w:val="22"/>
        </w:rPr>
        <w:t>Estado</w:t>
      </w:r>
      <w:r>
        <w:rPr>
          <w:rFonts w:ascii="Times New Roman" w:hAnsi="Times New Roman" w:cs="Times New Roman"/>
          <w:spacing w:val="-6"/>
          <w:sz w:val="22"/>
          <w:szCs w:val="22"/>
        </w:rPr>
        <w:t xml:space="preserve"> </w:t>
      </w:r>
      <w:r>
        <w:rPr>
          <w:rFonts w:ascii="Times New Roman" w:hAnsi="Times New Roman" w:cs="Times New Roman"/>
          <w:sz w:val="22"/>
          <w:szCs w:val="22"/>
        </w:rPr>
        <w:t>designado</w:t>
      </w:r>
      <w:r>
        <w:rPr>
          <w:rFonts w:ascii="Times New Roman" w:hAnsi="Times New Roman" w:cs="Times New Roman"/>
          <w:spacing w:val="-7"/>
          <w:sz w:val="22"/>
          <w:szCs w:val="22"/>
        </w:rPr>
        <w:t xml:space="preserve"> </w:t>
      </w:r>
      <w:r>
        <w:rPr>
          <w:rFonts w:ascii="Times New Roman" w:hAnsi="Times New Roman" w:cs="Times New Roman"/>
          <w:sz w:val="22"/>
          <w:szCs w:val="22"/>
        </w:rPr>
        <w:t>como</w:t>
      </w:r>
      <w:r>
        <w:rPr>
          <w:rFonts w:ascii="Times New Roman" w:hAnsi="Times New Roman" w:cs="Times New Roman"/>
          <w:spacing w:val="-5"/>
          <w:sz w:val="22"/>
          <w:szCs w:val="22"/>
        </w:rPr>
        <w:t xml:space="preserve"> </w:t>
      </w:r>
      <w:r>
        <w:rPr>
          <w:rFonts w:ascii="Times New Roman" w:hAnsi="Times New Roman" w:cs="Times New Roman"/>
          <w:sz w:val="22"/>
          <w:szCs w:val="22"/>
        </w:rPr>
        <w:t>Administrador</w:t>
      </w:r>
      <w:r>
        <w:rPr>
          <w:rFonts w:ascii="Times New Roman" w:hAnsi="Times New Roman" w:cs="Times New Roman"/>
          <w:spacing w:val="-7"/>
          <w:sz w:val="22"/>
          <w:szCs w:val="22"/>
        </w:rPr>
        <w:t xml:space="preserve"> </w:t>
      </w:r>
      <w:r>
        <w:rPr>
          <w:rFonts w:ascii="Times New Roman" w:hAnsi="Times New Roman" w:cs="Times New Roman"/>
          <w:sz w:val="22"/>
          <w:szCs w:val="22"/>
        </w:rPr>
        <w:t>del</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Contrato.</w:t>
      </w:r>
    </w:p>
    <w:p>
      <w:pPr>
        <w:pStyle w:val="Textoindependiente"/>
        <w:rPr>
          <w:rFonts w:ascii="Times New Roman" w:hAnsi="Times New Roman" w:cs="Times New Roman"/>
          <w:sz w:val="22"/>
          <w:szCs w:val="22"/>
        </w:rPr>
      </w:pPr>
    </w:p>
    <w:p>
      <w:pPr>
        <w:pStyle w:val="Ttulo1"/>
        <w:keepNext w:val="0"/>
        <w:widowControl w:val="0"/>
        <w:numPr>
          <w:ilvl w:val="0"/>
          <w:numId w:val="186"/>
        </w:numPr>
        <w:tabs>
          <w:tab w:val="clear" w:pos="1422"/>
          <w:tab w:val="left" w:pos="709"/>
        </w:tabs>
        <w:autoSpaceDE w:val="0"/>
        <w:autoSpaceDN w:val="0"/>
        <w:ind w:left="709" w:hanging="421"/>
        <w:rPr>
          <w:rFonts w:ascii="Times New Roman" w:hAnsi="Times New Roman" w:cs="Times New Roman"/>
          <w:sz w:val="22"/>
          <w:szCs w:val="22"/>
        </w:rPr>
      </w:pPr>
      <w:r>
        <w:rPr>
          <w:rFonts w:ascii="Times New Roman" w:hAnsi="Times New Roman" w:cs="Times New Roman"/>
          <w:sz w:val="22"/>
          <w:szCs w:val="22"/>
        </w:rPr>
        <w:t>DAÑOS</w:t>
      </w:r>
      <w:r>
        <w:rPr>
          <w:rFonts w:ascii="Times New Roman" w:hAnsi="Times New Roman" w:cs="Times New Roman"/>
          <w:spacing w:val="-2"/>
          <w:sz w:val="22"/>
          <w:szCs w:val="22"/>
        </w:rPr>
        <w:t xml:space="preserve"> </w:t>
      </w:r>
      <w:r>
        <w:rPr>
          <w:rFonts w:ascii="Times New Roman" w:hAnsi="Times New Roman" w:cs="Times New Roman"/>
          <w:sz w:val="22"/>
          <w:szCs w:val="22"/>
        </w:rPr>
        <w:t xml:space="preserve">Y </w:t>
      </w:r>
      <w:r>
        <w:rPr>
          <w:rFonts w:ascii="Times New Roman" w:hAnsi="Times New Roman" w:cs="Times New Roman"/>
          <w:spacing w:val="-2"/>
          <w:sz w:val="22"/>
          <w:szCs w:val="22"/>
        </w:rPr>
        <w:t>PERJUICIOS</w:t>
      </w:r>
    </w:p>
    <w:p>
      <w:pPr>
        <w:pStyle w:val="Textoindependiente"/>
        <w:rPr>
          <w:rFonts w:ascii="Times New Roman" w:hAnsi="Times New Roman" w:cs="Times New Roman"/>
          <w:b/>
          <w:sz w:val="22"/>
          <w:szCs w:val="22"/>
        </w:rPr>
      </w:pPr>
    </w:p>
    <w:p>
      <w:pPr>
        <w:pStyle w:val="Textoindependiente"/>
        <w:ind w:left="283" w:right="283" w:firstLine="4"/>
        <w:jc w:val="both"/>
        <w:rPr>
          <w:rFonts w:ascii="Times New Roman" w:hAnsi="Times New Roman" w:cs="Times New Roman"/>
          <w:sz w:val="22"/>
          <w:szCs w:val="22"/>
        </w:rPr>
      </w:pPr>
      <w:r>
        <w:rPr>
          <w:rFonts w:ascii="Times New Roman" w:hAnsi="Times New Roman" w:cs="Times New Roman"/>
          <w:sz w:val="22"/>
          <w:szCs w:val="22"/>
        </w:rPr>
        <w:t>El valor de la liquidación por daños y perjuicios será del 1 por 1000, por cada día de retraso del servicio requerido. Los daños y perjuicios se calcularán sobre el porcentaje de las obligaciones que</w:t>
      </w:r>
      <w:r>
        <w:rPr>
          <w:rFonts w:ascii="Times New Roman" w:hAnsi="Times New Roman" w:cs="Times New Roman"/>
          <w:spacing w:val="-9"/>
          <w:sz w:val="22"/>
          <w:szCs w:val="22"/>
        </w:rPr>
        <w:t xml:space="preserve"> </w:t>
      </w:r>
      <w:r>
        <w:rPr>
          <w:rFonts w:ascii="Times New Roman" w:hAnsi="Times New Roman" w:cs="Times New Roman"/>
          <w:sz w:val="22"/>
          <w:szCs w:val="22"/>
        </w:rPr>
        <w:t>se</w:t>
      </w:r>
      <w:r>
        <w:rPr>
          <w:rFonts w:ascii="Times New Roman" w:hAnsi="Times New Roman" w:cs="Times New Roman"/>
          <w:spacing w:val="-9"/>
          <w:sz w:val="22"/>
          <w:szCs w:val="22"/>
        </w:rPr>
        <w:t xml:space="preserve"> </w:t>
      </w:r>
      <w:r>
        <w:rPr>
          <w:rFonts w:ascii="Times New Roman" w:hAnsi="Times New Roman" w:cs="Times New Roman"/>
          <w:sz w:val="22"/>
          <w:szCs w:val="22"/>
        </w:rPr>
        <w:t>encuentran</w:t>
      </w:r>
      <w:r>
        <w:rPr>
          <w:rFonts w:ascii="Times New Roman" w:hAnsi="Times New Roman" w:cs="Times New Roman"/>
          <w:spacing w:val="-8"/>
          <w:sz w:val="22"/>
          <w:szCs w:val="22"/>
        </w:rPr>
        <w:t xml:space="preserve"> </w:t>
      </w:r>
      <w:r>
        <w:rPr>
          <w:rFonts w:ascii="Times New Roman" w:hAnsi="Times New Roman" w:cs="Times New Roman"/>
          <w:sz w:val="22"/>
          <w:szCs w:val="22"/>
        </w:rPr>
        <w:t>pendientes</w:t>
      </w:r>
      <w:r>
        <w:rPr>
          <w:rFonts w:ascii="Times New Roman" w:hAnsi="Times New Roman" w:cs="Times New Roman"/>
          <w:spacing w:val="-10"/>
          <w:sz w:val="22"/>
          <w:szCs w:val="22"/>
        </w:rPr>
        <w:t xml:space="preserve"> </w:t>
      </w:r>
      <w:r>
        <w:rPr>
          <w:rFonts w:ascii="Times New Roman" w:hAnsi="Times New Roman" w:cs="Times New Roman"/>
          <w:sz w:val="22"/>
          <w:szCs w:val="22"/>
        </w:rPr>
        <w:t>de</w:t>
      </w:r>
      <w:r>
        <w:rPr>
          <w:rFonts w:ascii="Times New Roman" w:hAnsi="Times New Roman" w:cs="Times New Roman"/>
          <w:spacing w:val="-9"/>
          <w:sz w:val="22"/>
          <w:szCs w:val="22"/>
        </w:rPr>
        <w:t xml:space="preserve"> </w:t>
      </w:r>
      <w:r>
        <w:rPr>
          <w:rFonts w:ascii="Times New Roman" w:hAnsi="Times New Roman" w:cs="Times New Roman"/>
          <w:sz w:val="22"/>
          <w:szCs w:val="22"/>
        </w:rPr>
        <w:t>ejecutarse</w:t>
      </w:r>
      <w:r>
        <w:rPr>
          <w:rFonts w:ascii="Times New Roman" w:hAnsi="Times New Roman" w:cs="Times New Roman"/>
          <w:spacing w:val="-11"/>
          <w:sz w:val="22"/>
          <w:szCs w:val="22"/>
        </w:rPr>
        <w:t xml:space="preserve"> </w:t>
      </w:r>
      <w:r>
        <w:rPr>
          <w:rFonts w:ascii="Times New Roman" w:hAnsi="Times New Roman" w:cs="Times New Roman"/>
          <w:sz w:val="22"/>
          <w:szCs w:val="22"/>
        </w:rPr>
        <w:t>conforme</w:t>
      </w:r>
      <w:r>
        <w:rPr>
          <w:rFonts w:ascii="Times New Roman" w:hAnsi="Times New Roman" w:cs="Times New Roman"/>
          <w:spacing w:val="-9"/>
          <w:sz w:val="22"/>
          <w:szCs w:val="22"/>
        </w:rPr>
        <w:t xml:space="preserve"> </w:t>
      </w:r>
      <w:r>
        <w:rPr>
          <w:rFonts w:ascii="Times New Roman" w:hAnsi="Times New Roman" w:cs="Times New Roman"/>
          <w:sz w:val="22"/>
          <w:szCs w:val="22"/>
        </w:rPr>
        <w:t>lo</w:t>
      </w:r>
      <w:r>
        <w:rPr>
          <w:rFonts w:ascii="Times New Roman" w:hAnsi="Times New Roman" w:cs="Times New Roman"/>
          <w:spacing w:val="-9"/>
          <w:sz w:val="22"/>
          <w:szCs w:val="22"/>
        </w:rPr>
        <w:t xml:space="preserve"> </w:t>
      </w:r>
      <w:r>
        <w:rPr>
          <w:rFonts w:ascii="Times New Roman" w:hAnsi="Times New Roman" w:cs="Times New Roman"/>
          <w:sz w:val="22"/>
          <w:szCs w:val="22"/>
        </w:rPr>
        <w:t>establecido</w:t>
      </w:r>
      <w:r>
        <w:rPr>
          <w:rFonts w:ascii="Times New Roman" w:hAnsi="Times New Roman" w:cs="Times New Roman"/>
          <w:spacing w:val="-9"/>
          <w:sz w:val="22"/>
          <w:szCs w:val="22"/>
        </w:rPr>
        <w:t xml:space="preserve"> </w:t>
      </w:r>
      <w:r>
        <w:rPr>
          <w:rFonts w:ascii="Times New Roman" w:hAnsi="Times New Roman" w:cs="Times New Roman"/>
          <w:sz w:val="22"/>
          <w:szCs w:val="22"/>
        </w:rPr>
        <w:t>en</w:t>
      </w:r>
      <w:r>
        <w:rPr>
          <w:rFonts w:ascii="Times New Roman" w:hAnsi="Times New Roman" w:cs="Times New Roman"/>
          <w:spacing w:val="-8"/>
          <w:sz w:val="22"/>
          <w:szCs w:val="22"/>
        </w:rPr>
        <w:t xml:space="preserve"> </w:t>
      </w:r>
      <w:r>
        <w:rPr>
          <w:rFonts w:ascii="Times New Roman" w:hAnsi="Times New Roman" w:cs="Times New Roman"/>
          <w:sz w:val="22"/>
          <w:szCs w:val="22"/>
        </w:rPr>
        <w:t>el</w:t>
      </w:r>
      <w:r>
        <w:rPr>
          <w:rFonts w:ascii="Times New Roman" w:hAnsi="Times New Roman" w:cs="Times New Roman"/>
          <w:spacing w:val="-7"/>
          <w:sz w:val="22"/>
          <w:szCs w:val="22"/>
        </w:rPr>
        <w:t xml:space="preserve"> </w:t>
      </w:r>
      <w:r>
        <w:rPr>
          <w:rFonts w:ascii="Times New Roman" w:hAnsi="Times New Roman" w:cs="Times New Roman"/>
          <w:sz w:val="22"/>
          <w:szCs w:val="22"/>
        </w:rPr>
        <w:t>contrato,</w:t>
      </w:r>
      <w:r>
        <w:rPr>
          <w:rFonts w:ascii="Times New Roman" w:hAnsi="Times New Roman" w:cs="Times New Roman"/>
          <w:spacing w:val="-8"/>
          <w:sz w:val="22"/>
          <w:szCs w:val="22"/>
        </w:rPr>
        <w:t xml:space="preserve"> </w:t>
      </w:r>
      <w:r>
        <w:rPr>
          <w:rFonts w:ascii="Times New Roman" w:hAnsi="Times New Roman" w:cs="Times New Roman"/>
          <w:sz w:val="22"/>
          <w:szCs w:val="22"/>
        </w:rPr>
        <w:t>excepto</w:t>
      </w:r>
      <w:r>
        <w:rPr>
          <w:rFonts w:ascii="Times New Roman" w:hAnsi="Times New Roman" w:cs="Times New Roman"/>
          <w:spacing w:val="-12"/>
          <w:sz w:val="22"/>
          <w:szCs w:val="22"/>
        </w:rPr>
        <w:t xml:space="preserve"> </w:t>
      </w:r>
      <w:r>
        <w:rPr>
          <w:rFonts w:ascii="Times New Roman" w:hAnsi="Times New Roman" w:cs="Times New Roman"/>
          <w:sz w:val="22"/>
          <w:szCs w:val="22"/>
        </w:rPr>
        <w:t>en el evento</w:t>
      </w:r>
      <w:r>
        <w:rPr>
          <w:rFonts w:ascii="Times New Roman" w:hAnsi="Times New Roman" w:cs="Times New Roman"/>
          <w:spacing w:val="-5"/>
          <w:sz w:val="22"/>
          <w:szCs w:val="22"/>
        </w:rPr>
        <w:t xml:space="preserve"> </w:t>
      </w:r>
      <w:r>
        <w:rPr>
          <w:rFonts w:ascii="Times New Roman" w:hAnsi="Times New Roman" w:cs="Times New Roman"/>
          <w:sz w:val="22"/>
          <w:szCs w:val="22"/>
        </w:rPr>
        <w:t>de</w:t>
      </w:r>
      <w:r>
        <w:rPr>
          <w:rFonts w:ascii="Times New Roman" w:hAnsi="Times New Roman" w:cs="Times New Roman"/>
          <w:spacing w:val="-2"/>
          <w:sz w:val="22"/>
          <w:szCs w:val="22"/>
        </w:rPr>
        <w:t xml:space="preserve"> </w:t>
      </w:r>
      <w:r>
        <w:rPr>
          <w:rFonts w:ascii="Times New Roman" w:hAnsi="Times New Roman" w:cs="Times New Roman"/>
          <w:sz w:val="22"/>
          <w:szCs w:val="22"/>
        </w:rPr>
        <w:t>caso</w:t>
      </w:r>
      <w:r>
        <w:rPr>
          <w:rFonts w:ascii="Times New Roman" w:hAnsi="Times New Roman" w:cs="Times New Roman"/>
          <w:spacing w:val="-2"/>
          <w:sz w:val="22"/>
          <w:szCs w:val="22"/>
        </w:rPr>
        <w:t xml:space="preserve"> </w:t>
      </w:r>
      <w:r>
        <w:rPr>
          <w:rFonts w:ascii="Times New Roman" w:hAnsi="Times New Roman" w:cs="Times New Roman"/>
          <w:sz w:val="22"/>
          <w:szCs w:val="22"/>
        </w:rPr>
        <w:t>fortuito</w:t>
      </w:r>
      <w:r>
        <w:rPr>
          <w:rFonts w:ascii="Times New Roman" w:hAnsi="Times New Roman" w:cs="Times New Roman"/>
          <w:spacing w:val="-6"/>
          <w:sz w:val="22"/>
          <w:szCs w:val="22"/>
        </w:rPr>
        <w:t xml:space="preserve"> </w:t>
      </w:r>
      <w:r>
        <w:rPr>
          <w:rFonts w:ascii="Times New Roman" w:hAnsi="Times New Roman" w:cs="Times New Roman"/>
          <w:sz w:val="22"/>
          <w:szCs w:val="22"/>
        </w:rPr>
        <w:t>o</w:t>
      </w:r>
      <w:r>
        <w:rPr>
          <w:rFonts w:ascii="Times New Roman" w:hAnsi="Times New Roman" w:cs="Times New Roman"/>
          <w:spacing w:val="-2"/>
          <w:sz w:val="22"/>
          <w:szCs w:val="22"/>
        </w:rPr>
        <w:t xml:space="preserve"> </w:t>
      </w:r>
      <w:r>
        <w:rPr>
          <w:rFonts w:ascii="Times New Roman" w:hAnsi="Times New Roman" w:cs="Times New Roman"/>
          <w:sz w:val="22"/>
          <w:szCs w:val="22"/>
        </w:rPr>
        <w:t>fuerza mayor</w:t>
      </w:r>
      <w:r>
        <w:rPr>
          <w:rFonts w:ascii="Times New Roman" w:hAnsi="Times New Roman" w:cs="Times New Roman"/>
          <w:spacing w:val="-3"/>
          <w:sz w:val="22"/>
          <w:szCs w:val="22"/>
        </w:rPr>
        <w:t xml:space="preserve"> </w:t>
      </w:r>
      <w:r>
        <w:rPr>
          <w:rFonts w:ascii="Times New Roman" w:hAnsi="Times New Roman" w:cs="Times New Roman"/>
          <w:sz w:val="22"/>
          <w:szCs w:val="22"/>
        </w:rPr>
        <w:t>calificado</w:t>
      </w:r>
      <w:r>
        <w:rPr>
          <w:rFonts w:ascii="Times New Roman" w:hAnsi="Times New Roman" w:cs="Times New Roman"/>
          <w:spacing w:val="-4"/>
          <w:sz w:val="22"/>
          <w:szCs w:val="22"/>
        </w:rPr>
        <w:t xml:space="preserve"> </w:t>
      </w:r>
      <w:r>
        <w:rPr>
          <w:rFonts w:ascii="Times New Roman" w:hAnsi="Times New Roman" w:cs="Times New Roman"/>
          <w:sz w:val="22"/>
          <w:szCs w:val="22"/>
        </w:rPr>
        <w:t>por el</w:t>
      </w:r>
      <w:r>
        <w:rPr>
          <w:rFonts w:ascii="Times New Roman" w:hAnsi="Times New Roman" w:cs="Times New Roman"/>
          <w:spacing w:val="-2"/>
          <w:sz w:val="22"/>
          <w:szCs w:val="22"/>
        </w:rPr>
        <w:t xml:space="preserve"> </w:t>
      </w:r>
      <w:r>
        <w:rPr>
          <w:rFonts w:ascii="Times New Roman" w:hAnsi="Times New Roman" w:cs="Times New Roman"/>
          <w:sz w:val="22"/>
          <w:szCs w:val="22"/>
        </w:rPr>
        <w:t>contratante</w:t>
      </w:r>
      <w:r>
        <w:rPr>
          <w:rFonts w:ascii="Times New Roman" w:hAnsi="Times New Roman" w:cs="Times New Roman"/>
          <w:spacing w:val="-2"/>
          <w:sz w:val="22"/>
          <w:szCs w:val="22"/>
        </w:rPr>
        <w:t xml:space="preserve"> </w:t>
      </w:r>
      <w:r>
        <w:rPr>
          <w:rFonts w:ascii="Times New Roman" w:hAnsi="Times New Roman" w:cs="Times New Roman"/>
          <w:sz w:val="22"/>
          <w:szCs w:val="22"/>
        </w:rPr>
        <w:t>o por causas</w:t>
      </w:r>
      <w:r>
        <w:rPr>
          <w:rFonts w:ascii="Times New Roman" w:hAnsi="Times New Roman" w:cs="Times New Roman"/>
          <w:spacing w:val="-1"/>
          <w:sz w:val="22"/>
          <w:szCs w:val="22"/>
        </w:rPr>
        <w:t xml:space="preserve"> </w:t>
      </w:r>
      <w:r>
        <w:rPr>
          <w:rFonts w:ascii="Times New Roman" w:hAnsi="Times New Roman" w:cs="Times New Roman"/>
          <w:sz w:val="22"/>
          <w:szCs w:val="22"/>
        </w:rPr>
        <w:t>imputables a esta Entidad.</w:t>
      </w:r>
    </w:p>
    <w:p>
      <w:pPr>
        <w:pStyle w:val="Textoindependiente"/>
        <w:ind w:left="283" w:right="283" w:firstLine="4"/>
        <w:jc w:val="both"/>
        <w:rPr>
          <w:rFonts w:ascii="Times New Roman" w:hAnsi="Times New Roman" w:cs="Times New Roman"/>
          <w:sz w:val="22"/>
          <w:szCs w:val="22"/>
        </w:rPr>
      </w:pPr>
    </w:p>
    <w:p>
      <w:pPr>
        <w:pStyle w:val="Textoindependiente"/>
        <w:ind w:left="283" w:right="286" w:firstLine="4"/>
        <w:jc w:val="both"/>
        <w:rPr>
          <w:rFonts w:ascii="Times New Roman" w:hAnsi="Times New Roman" w:cs="Times New Roman"/>
          <w:sz w:val="22"/>
          <w:szCs w:val="22"/>
        </w:rPr>
      </w:pPr>
      <w:r>
        <w:rPr>
          <w:rFonts w:ascii="Times New Roman" w:hAnsi="Times New Roman" w:cs="Times New Roman"/>
          <w:sz w:val="22"/>
          <w:szCs w:val="22"/>
        </w:rPr>
        <w:t>El</w:t>
      </w:r>
      <w:r>
        <w:rPr>
          <w:rFonts w:ascii="Times New Roman" w:hAnsi="Times New Roman" w:cs="Times New Roman"/>
          <w:spacing w:val="-12"/>
          <w:sz w:val="22"/>
          <w:szCs w:val="22"/>
        </w:rPr>
        <w:t xml:space="preserve"> </w:t>
      </w:r>
      <w:r>
        <w:rPr>
          <w:rFonts w:ascii="Times New Roman" w:hAnsi="Times New Roman" w:cs="Times New Roman"/>
          <w:sz w:val="22"/>
          <w:szCs w:val="22"/>
        </w:rPr>
        <w:t>monto</w:t>
      </w:r>
      <w:r>
        <w:rPr>
          <w:rFonts w:ascii="Times New Roman" w:hAnsi="Times New Roman" w:cs="Times New Roman"/>
          <w:spacing w:val="-12"/>
          <w:sz w:val="22"/>
          <w:szCs w:val="22"/>
        </w:rPr>
        <w:t xml:space="preserve"> </w:t>
      </w:r>
      <w:r>
        <w:rPr>
          <w:rFonts w:ascii="Times New Roman" w:hAnsi="Times New Roman" w:cs="Times New Roman"/>
          <w:sz w:val="22"/>
          <w:szCs w:val="22"/>
        </w:rPr>
        <w:t>máximo</w:t>
      </w:r>
      <w:r>
        <w:rPr>
          <w:rFonts w:ascii="Times New Roman" w:hAnsi="Times New Roman" w:cs="Times New Roman"/>
          <w:spacing w:val="-12"/>
          <w:sz w:val="22"/>
          <w:szCs w:val="22"/>
        </w:rPr>
        <w:t xml:space="preserve"> </w:t>
      </w:r>
      <w:r>
        <w:rPr>
          <w:rFonts w:ascii="Times New Roman" w:hAnsi="Times New Roman" w:cs="Times New Roman"/>
          <w:sz w:val="22"/>
          <w:szCs w:val="22"/>
        </w:rPr>
        <w:t>de</w:t>
      </w:r>
      <w:r>
        <w:rPr>
          <w:rFonts w:ascii="Times New Roman" w:hAnsi="Times New Roman" w:cs="Times New Roman"/>
          <w:spacing w:val="-11"/>
          <w:sz w:val="22"/>
          <w:szCs w:val="22"/>
        </w:rPr>
        <w:t xml:space="preserve"> </w:t>
      </w:r>
      <w:r>
        <w:rPr>
          <w:rFonts w:ascii="Times New Roman" w:hAnsi="Times New Roman" w:cs="Times New Roman"/>
          <w:sz w:val="22"/>
          <w:szCs w:val="22"/>
        </w:rPr>
        <w:t>la</w:t>
      </w:r>
      <w:r>
        <w:rPr>
          <w:rFonts w:ascii="Times New Roman" w:hAnsi="Times New Roman" w:cs="Times New Roman"/>
          <w:spacing w:val="-11"/>
          <w:sz w:val="22"/>
          <w:szCs w:val="22"/>
        </w:rPr>
        <w:t xml:space="preserve"> </w:t>
      </w:r>
      <w:r>
        <w:rPr>
          <w:rFonts w:ascii="Times New Roman" w:hAnsi="Times New Roman" w:cs="Times New Roman"/>
          <w:sz w:val="22"/>
          <w:szCs w:val="22"/>
        </w:rPr>
        <w:t>liquidación</w:t>
      </w:r>
      <w:r>
        <w:rPr>
          <w:rFonts w:ascii="Times New Roman" w:hAnsi="Times New Roman" w:cs="Times New Roman"/>
          <w:spacing w:val="-11"/>
          <w:sz w:val="22"/>
          <w:szCs w:val="22"/>
        </w:rPr>
        <w:t xml:space="preserve"> </w:t>
      </w:r>
      <w:r>
        <w:rPr>
          <w:rFonts w:ascii="Times New Roman" w:hAnsi="Times New Roman" w:cs="Times New Roman"/>
          <w:sz w:val="22"/>
          <w:szCs w:val="22"/>
        </w:rPr>
        <w:t>por</w:t>
      </w:r>
      <w:r>
        <w:rPr>
          <w:rFonts w:ascii="Times New Roman" w:hAnsi="Times New Roman" w:cs="Times New Roman"/>
          <w:spacing w:val="-10"/>
          <w:sz w:val="22"/>
          <w:szCs w:val="22"/>
        </w:rPr>
        <w:t xml:space="preserve"> </w:t>
      </w:r>
      <w:r>
        <w:rPr>
          <w:rFonts w:ascii="Times New Roman" w:hAnsi="Times New Roman" w:cs="Times New Roman"/>
          <w:sz w:val="22"/>
          <w:szCs w:val="22"/>
        </w:rPr>
        <w:t>daños</w:t>
      </w:r>
      <w:r>
        <w:rPr>
          <w:rFonts w:ascii="Times New Roman" w:hAnsi="Times New Roman" w:cs="Times New Roman"/>
          <w:spacing w:val="-10"/>
          <w:sz w:val="22"/>
          <w:szCs w:val="22"/>
        </w:rPr>
        <w:t xml:space="preserve"> </w:t>
      </w:r>
      <w:r>
        <w:rPr>
          <w:rFonts w:ascii="Times New Roman" w:hAnsi="Times New Roman" w:cs="Times New Roman"/>
          <w:sz w:val="22"/>
          <w:szCs w:val="22"/>
        </w:rPr>
        <w:t>y</w:t>
      </w:r>
      <w:r>
        <w:rPr>
          <w:rFonts w:ascii="Times New Roman" w:hAnsi="Times New Roman" w:cs="Times New Roman"/>
          <w:spacing w:val="-12"/>
          <w:sz w:val="22"/>
          <w:szCs w:val="22"/>
        </w:rPr>
        <w:t xml:space="preserve"> </w:t>
      </w:r>
      <w:r>
        <w:rPr>
          <w:rFonts w:ascii="Times New Roman" w:hAnsi="Times New Roman" w:cs="Times New Roman"/>
          <w:sz w:val="22"/>
          <w:szCs w:val="22"/>
        </w:rPr>
        <w:t>perjuicios</w:t>
      </w:r>
      <w:r>
        <w:rPr>
          <w:rFonts w:ascii="Times New Roman" w:hAnsi="Times New Roman" w:cs="Times New Roman"/>
          <w:spacing w:val="-10"/>
          <w:sz w:val="22"/>
          <w:szCs w:val="22"/>
        </w:rPr>
        <w:t xml:space="preserve"> </w:t>
      </w:r>
      <w:r>
        <w:rPr>
          <w:rFonts w:ascii="Times New Roman" w:hAnsi="Times New Roman" w:cs="Times New Roman"/>
          <w:sz w:val="22"/>
          <w:szCs w:val="22"/>
        </w:rPr>
        <w:t>a</w:t>
      </w:r>
      <w:r>
        <w:rPr>
          <w:rFonts w:ascii="Times New Roman" w:hAnsi="Times New Roman" w:cs="Times New Roman"/>
          <w:spacing w:val="-12"/>
          <w:sz w:val="22"/>
          <w:szCs w:val="22"/>
        </w:rPr>
        <w:t xml:space="preserve"> </w:t>
      </w:r>
      <w:r>
        <w:rPr>
          <w:rFonts w:ascii="Times New Roman" w:hAnsi="Times New Roman" w:cs="Times New Roman"/>
          <w:sz w:val="22"/>
          <w:szCs w:val="22"/>
        </w:rPr>
        <w:t>causa</w:t>
      </w:r>
      <w:r>
        <w:rPr>
          <w:rFonts w:ascii="Times New Roman" w:hAnsi="Times New Roman" w:cs="Times New Roman"/>
          <w:spacing w:val="-12"/>
          <w:sz w:val="22"/>
          <w:szCs w:val="22"/>
        </w:rPr>
        <w:t xml:space="preserve"> </w:t>
      </w:r>
      <w:r>
        <w:rPr>
          <w:rFonts w:ascii="Times New Roman" w:hAnsi="Times New Roman" w:cs="Times New Roman"/>
          <w:sz w:val="22"/>
          <w:szCs w:val="22"/>
        </w:rPr>
        <w:t>de</w:t>
      </w:r>
      <w:r>
        <w:rPr>
          <w:rFonts w:ascii="Times New Roman" w:hAnsi="Times New Roman" w:cs="Times New Roman"/>
          <w:spacing w:val="-11"/>
          <w:sz w:val="22"/>
          <w:szCs w:val="22"/>
        </w:rPr>
        <w:t xml:space="preserve"> </w:t>
      </w:r>
      <w:r>
        <w:rPr>
          <w:rFonts w:ascii="Times New Roman" w:hAnsi="Times New Roman" w:cs="Times New Roman"/>
          <w:sz w:val="22"/>
          <w:szCs w:val="22"/>
        </w:rPr>
        <w:t>la</w:t>
      </w:r>
      <w:r>
        <w:rPr>
          <w:rFonts w:ascii="Times New Roman" w:hAnsi="Times New Roman" w:cs="Times New Roman"/>
          <w:spacing w:val="-11"/>
          <w:sz w:val="22"/>
          <w:szCs w:val="22"/>
        </w:rPr>
        <w:t xml:space="preserve"> </w:t>
      </w:r>
      <w:r>
        <w:rPr>
          <w:rFonts w:ascii="Times New Roman" w:hAnsi="Times New Roman" w:cs="Times New Roman"/>
          <w:sz w:val="22"/>
          <w:szCs w:val="22"/>
        </w:rPr>
        <w:t>demora</w:t>
      </w:r>
      <w:r>
        <w:rPr>
          <w:rFonts w:ascii="Times New Roman" w:hAnsi="Times New Roman" w:cs="Times New Roman"/>
          <w:spacing w:val="-11"/>
          <w:sz w:val="22"/>
          <w:szCs w:val="22"/>
        </w:rPr>
        <w:t xml:space="preserve"> </w:t>
      </w:r>
      <w:r>
        <w:rPr>
          <w:rFonts w:ascii="Times New Roman" w:hAnsi="Times New Roman" w:cs="Times New Roman"/>
          <w:sz w:val="22"/>
          <w:szCs w:val="22"/>
        </w:rPr>
        <w:t>será:</w:t>
      </w:r>
      <w:r>
        <w:rPr>
          <w:rFonts w:ascii="Times New Roman" w:hAnsi="Times New Roman" w:cs="Times New Roman"/>
          <w:spacing w:val="-11"/>
          <w:sz w:val="22"/>
          <w:szCs w:val="22"/>
        </w:rPr>
        <w:t xml:space="preserve"> </w:t>
      </w:r>
      <w:r>
        <w:rPr>
          <w:rFonts w:ascii="Times New Roman" w:hAnsi="Times New Roman" w:cs="Times New Roman"/>
          <w:sz w:val="22"/>
          <w:szCs w:val="22"/>
        </w:rPr>
        <w:t>5%</w:t>
      </w:r>
      <w:r>
        <w:rPr>
          <w:rFonts w:ascii="Times New Roman" w:hAnsi="Times New Roman" w:cs="Times New Roman"/>
          <w:spacing w:val="-12"/>
          <w:sz w:val="22"/>
          <w:szCs w:val="22"/>
        </w:rPr>
        <w:t xml:space="preserve"> </w:t>
      </w:r>
      <w:r>
        <w:rPr>
          <w:rFonts w:ascii="Times New Roman" w:hAnsi="Times New Roman" w:cs="Times New Roman"/>
          <w:sz w:val="22"/>
          <w:szCs w:val="22"/>
        </w:rPr>
        <w:t>del</w:t>
      </w:r>
      <w:r>
        <w:rPr>
          <w:rFonts w:ascii="Times New Roman" w:hAnsi="Times New Roman" w:cs="Times New Roman"/>
          <w:spacing w:val="-11"/>
          <w:sz w:val="22"/>
          <w:szCs w:val="22"/>
        </w:rPr>
        <w:t xml:space="preserve"> </w:t>
      </w:r>
      <w:r>
        <w:rPr>
          <w:rFonts w:ascii="Times New Roman" w:hAnsi="Times New Roman" w:cs="Times New Roman"/>
          <w:sz w:val="22"/>
          <w:szCs w:val="22"/>
        </w:rPr>
        <w:t>precio del</w:t>
      </w:r>
      <w:r>
        <w:rPr>
          <w:rFonts w:ascii="Times New Roman" w:hAnsi="Times New Roman" w:cs="Times New Roman"/>
          <w:spacing w:val="-12"/>
          <w:sz w:val="22"/>
          <w:szCs w:val="22"/>
        </w:rPr>
        <w:t xml:space="preserve"> </w:t>
      </w:r>
      <w:r>
        <w:rPr>
          <w:rFonts w:ascii="Times New Roman" w:hAnsi="Times New Roman" w:cs="Times New Roman"/>
          <w:sz w:val="22"/>
          <w:szCs w:val="22"/>
        </w:rPr>
        <w:t>contrato.</w:t>
      </w:r>
      <w:r>
        <w:rPr>
          <w:rFonts w:ascii="Times New Roman" w:hAnsi="Times New Roman" w:cs="Times New Roman"/>
          <w:spacing w:val="-12"/>
          <w:sz w:val="22"/>
          <w:szCs w:val="22"/>
        </w:rPr>
        <w:t xml:space="preserve"> </w:t>
      </w:r>
      <w:r>
        <w:rPr>
          <w:rFonts w:ascii="Times New Roman" w:hAnsi="Times New Roman" w:cs="Times New Roman"/>
          <w:sz w:val="22"/>
          <w:szCs w:val="22"/>
        </w:rPr>
        <w:t>Si</w:t>
      </w:r>
      <w:r>
        <w:rPr>
          <w:rFonts w:ascii="Times New Roman" w:hAnsi="Times New Roman" w:cs="Times New Roman"/>
          <w:spacing w:val="-12"/>
          <w:sz w:val="22"/>
          <w:szCs w:val="22"/>
        </w:rPr>
        <w:t xml:space="preserve"> </w:t>
      </w:r>
      <w:r>
        <w:rPr>
          <w:rFonts w:ascii="Times New Roman" w:hAnsi="Times New Roman" w:cs="Times New Roman"/>
          <w:sz w:val="22"/>
          <w:szCs w:val="22"/>
        </w:rPr>
        <w:t>se</w:t>
      </w:r>
      <w:r>
        <w:rPr>
          <w:rFonts w:ascii="Times New Roman" w:hAnsi="Times New Roman" w:cs="Times New Roman"/>
          <w:spacing w:val="-12"/>
          <w:sz w:val="22"/>
          <w:szCs w:val="22"/>
        </w:rPr>
        <w:t xml:space="preserve"> </w:t>
      </w:r>
      <w:r>
        <w:rPr>
          <w:rFonts w:ascii="Times New Roman" w:hAnsi="Times New Roman" w:cs="Times New Roman"/>
          <w:sz w:val="22"/>
          <w:szCs w:val="22"/>
        </w:rPr>
        <w:t>llegare</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2"/>
          <w:sz w:val="22"/>
          <w:szCs w:val="22"/>
        </w:rPr>
        <w:t xml:space="preserve"> </w:t>
      </w:r>
      <w:r>
        <w:rPr>
          <w:rFonts w:ascii="Times New Roman" w:hAnsi="Times New Roman" w:cs="Times New Roman"/>
          <w:sz w:val="22"/>
          <w:szCs w:val="22"/>
        </w:rPr>
        <w:t>este</w:t>
      </w:r>
      <w:r>
        <w:rPr>
          <w:rFonts w:ascii="Times New Roman" w:hAnsi="Times New Roman" w:cs="Times New Roman"/>
          <w:spacing w:val="-12"/>
          <w:sz w:val="22"/>
          <w:szCs w:val="22"/>
        </w:rPr>
        <w:t xml:space="preserve"> </w:t>
      </w:r>
      <w:r>
        <w:rPr>
          <w:rFonts w:ascii="Times New Roman" w:hAnsi="Times New Roman" w:cs="Times New Roman"/>
          <w:sz w:val="22"/>
          <w:szCs w:val="22"/>
        </w:rPr>
        <w:t>valor</w:t>
      </w:r>
      <w:r>
        <w:rPr>
          <w:rFonts w:ascii="Times New Roman" w:hAnsi="Times New Roman" w:cs="Times New Roman"/>
          <w:spacing w:val="-12"/>
          <w:sz w:val="22"/>
          <w:szCs w:val="22"/>
        </w:rPr>
        <w:t xml:space="preserve"> </w:t>
      </w:r>
      <w:r>
        <w:rPr>
          <w:rFonts w:ascii="Times New Roman" w:hAnsi="Times New Roman" w:cs="Times New Roman"/>
          <w:sz w:val="22"/>
          <w:szCs w:val="22"/>
        </w:rPr>
        <w:t>el</w:t>
      </w:r>
      <w:r>
        <w:rPr>
          <w:rFonts w:ascii="Times New Roman" w:hAnsi="Times New Roman" w:cs="Times New Roman"/>
          <w:spacing w:val="-12"/>
          <w:sz w:val="22"/>
          <w:szCs w:val="22"/>
        </w:rPr>
        <w:t xml:space="preserve"> </w:t>
      </w:r>
      <w:r>
        <w:rPr>
          <w:rFonts w:ascii="Times New Roman" w:hAnsi="Times New Roman" w:cs="Times New Roman"/>
          <w:sz w:val="22"/>
          <w:szCs w:val="22"/>
        </w:rPr>
        <w:t>Contratante</w:t>
      </w:r>
      <w:r>
        <w:rPr>
          <w:rFonts w:ascii="Times New Roman" w:hAnsi="Times New Roman" w:cs="Times New Roman"/>
          <w:spacing w:val="-12"/>
          <w:sz w:val="22"/>
          <w:szCs w:val="22"/>
        </w:rPr>
        <w:t xml:space="preserve"> </w:t>
      </w:r>
      <w:r>
        <w:rPr>
          <w:rFonts w:ascii="Times New Roman" w:hAnsi="Times New Roman" w:cs="Times New Roman"/>
          <w:sz w:val="22"/>
          <w:szCs w:val="22"/>
        </w:rPr>
        <w:t>podrá</w:t>
      </w:r>
      <w:r>
        <w:rPr>
          <w:rFonts w:ascii="Times New Roman" w:hAnsi="Times New Roman" w:cs="Times New Roman"/>
          <w:spacing w:val="-12"/>
          <w:sz w:val="22"/>
          <w:szCs w:val="22"/>
        </w:rPr>
        <w:t xml:space="preserve"> </w:t>
      </w:r>
      <w:r>
        <w:rPr>
          <w:rFonts w:ascii="Times New Roman" w:hAnsi="Times New Roman" w:cs="Times New Roman"/>
          <w:sz w:val="22"/>
          <w:szCs w:val="22"/>
        </w:rPr>
        <w:t>terminar</w:t>
      </w:r>
      <w:r>
        <w:rPr>
          <w:rFonts w:ascii="Times New Roman" w:hAnsi="Times New Roman" w:cs="Times New Roman"/>
          <w:spacing w:val="-12"/>
          <w:sz w:val="22"/>
          <w:szCs w:val="22"/>
        </w:rPr>
        <w:t xml:space="preserve"> </w:t>
      </w:r>
      <w:r>
        <w:rPr>
          <w:rFonts w:ascii="Times New Roman" w:hAnsi="Times New Roman" w:cs="Times New Roman"/>
          <w:sz w:val="22"/>
          <w:szCs w:val="22"/>
        </w:rPr>
        <w:t>el</w:t>
      </w:r>
      <w:r>
        <w:rPr>
          <w:rFonts w:ascii="Times New Roman" w:hAnsi="Times New Roman" w:cs="Times New Roman"/>
          <w:spacing w:val="-11"/>
          <w:sz w:val="22"/>
          <w:szCs w:val="22"/>
        </w:rPr>
        <w:t xml:space="preserve"> </w:t>
      </w:r>
      <w:r>
        <w:rPr>
          <w:rFonts w:ascii="Times New Roman" w:hAnsi="Times New Roman" w:cs="Times New Roman"/>
          <w:sz w:val="22"/>
          <w:szCs w:val="22"/>
        </w:rPr>
        <w:t>contrato</w:t>
      </w:r>
      <w:r>
        <w:rPr>
          <w:rFonts w:ascii="Times New Roman" w:hAnsi="Times New Roman" w:cs="Times New Roman"/>
          <w:spacing w:val="-12"/>
          <w:sz w:val="22"/>
          <w:szCs w:val="22"/>
        </w:rPr>
        <w:t xml:space="preserve"> </w:t>
      </w:r>
      <w:r>
        <w:rPr>
          <w:rFonts w:ascii="Times New Roman" w:hAnsi="Times New Roman" w:cs="Times New Roman"/>
          <w:sz w:val="22"/>
          <w:szCs w:val="22"/>
        </w:rPr>
        <w:t>unilateralmente, luego del análisis respectivo de acuerdo con el equilibrio económico del contrato.</w:t>
      </w:r>
    </w:p>
    <w:p>
      <w:pPr>
        <w:pStyle w:val="Requisitos"/>
        <w:jc w:val="left"/>
        <w:rPr>
          <w:rFonts w:ascii="Times New Roman" w:hAnsi="Times New Roman"/>
          <w:i/>
          <w:iCs/>
        </w:rPr>
      </w:pPr>
    </w:p>
    <w:p>
      <w:pPr>
        <w:rPr>
          <w:i/>
          <w:iCs/>
          <w:lang w:val="es-ES"/>
        </w:rPr>
      </w:pPr>
    </w:p>
    <w:p>
      <w:pPr>
        <w:rPr>
          <w:i/>
          <w:iCs/>
          <w:lang w:val="es-ES"/>
        </w:rPr>
        <w:sectPr>
          <w:headerReference w:type="default" r:id="rId48"/>
          <w:pgSz w:w="11906" w:h="16838" w:code="9"/>
          <w:pgMar w:top="1440" w:right="1416" w:bottom="1440" w:left="1440" w:header="720" w:footer="720" w:gutter="0"/>
          <w:paperSrc w:first="15" w:other="15"/>
          <w:cols w:space="720"/>
        </w:sectPr>
      </w:pPr>
    </w:p>
    <w:p>
      <w:pPr>
        <w:pStyle w:val="Partes"/>
        <w:rPr>
          <w:rFonts w:ascii="Times New Roman" w:hAnsi="Times New Roman"/>
        </w:rPr>
      </w:pPr>
      <w:bookmarkStart w:id="735" w:name="_Hlt158620822"/>
      <w:bookmarkStart w:id="736" w:name="_Hlt158620816"/>
      <w:bookmarkStart w:id="737" w:name="_Hlt158620809"/>
      <w:bookmarkStart w:id="738" w:name="_Hlt158620801"/>
      <w:bookmarkStart w:id="739" w:name="_Hlt158620796"/>
      <w:bookmarkStart w:id="740" w:name="_Hlt158620789"/>
      <w:bookmarkStart w:id="741" w:name="_Hlt158620784"/>
      <w:bookmarkStart w:id="742" w:name="_Hlt158620778"/>
      <w:bookmarkStart w:id="743" w:name="_Hlt158620830"/>
      <w:bookmarkStart w:id="744" w:name="_Hlt126646327"/>
      <w:bookmarkStart w:id="745" w:name="_Hlt126646359"/>
      <w:bookmarkStart w:id="746" w:name="_Hlt158620845"/>
      <w:bookmarkStart w:id="747" w:name="_Toc450041034"/>
      <w:bookmarkStart w:id="748" w:name="_Toc175256928"/>
      <w:bookmarkStart w:id="749" w:name="_Toc403379141"/>
      <w:bookmarkStart w:id="750" w:name="_Toc438266930"/>
      <w:bookmarkStart w:id="751" w:name="_Toc438267904"/>
      <w:bookmarkStart w:id="752" w:name="_Toc438366671"/>
      <w:bookmarkEnd w:id="723"/>
      <w:bookmarkEnd w:id="724"/>
      <w:bookmarkEnd w:id="725"/>
      <w:bookmarkEnd w:id="726"/>
      <w:bookmarkEnd w:id="727"/>
      <w:bookmarkEnd w:id="728"/>
      <w:bookmarkEnd w:id="729"/>
      <w:bookmarkEnd w:id="735"/>
      <w:bookmarkEnd w:id="736"/>
      <w:bookmarkEnd w:id="737"/>
      <w:bookmarkEnd w:id="738"/>
      <w:bookmarkEnd w:id="739"/>
      <w:bookmarkEnd w:id="740"/>
      <w:bookmarkEnd w:id="741"/>
      <w:bookmarkEnd w:id="742"/>
      <w:bookmarkEnd w:id="743"/>
      <w:bookmarkEnd w:id="744"/>
      <w:bookmarkEnd w:id="745"/>
      <w:bookmarkEnd w:id="746"/>
      <w:r>
        <w:rPr>
          <w:rFonts w:ascii="Times New Roman" w:hAnsi="Times New Roman"/>
        </w:rPr>
        <w:lastRenderedPageBreak/>
        <w:t>TERCERA PARTE. Condiciones Contractuales y Formularios del Contrato</w:t>
      </w:r>
      <w:bookmarkEnd w:id="747"/>
      <w:bookmarkEnd w:id="748"/>
    </w:p>
    <w:p>
      <w:pPr>
        <w:pStyle w:val="Secciones"/>
        <w:rPr>
          <w:rFonts w:ascii="Times New Roman" w:hAnsi="Times New Roman"/>
        </w:rPr>
      </w:pPr>
      <w:bookmarkStart w:id="753" w:name="_Toc175256929"/>
      <w:r>
        <w:rPr>
          <w:rFonts w:ascii="Times New Roman" w:hAnsi="Times New Roman"/>
        </w:rPr>
        <w:t>Sección VII. Condiciones Generales del Contrato</w:t>
      </w:r>
      <w:bookmarkEnd w:id="753"/>
    </w:p>
    <w:p>
      <w:pPr>
        <w:pStyle w:val="CGCONTRATO"/>
        <w:rPr>
          <w:rFonts w:ascii="Times New Roman" w:hAnsi="Times New Roman"/>
        </w:rPr>
      </w:pPr>
      <w:r>
        <w:rPr>
          <w:rFonts w:ascii="Times New Roman" w:hAnsi="Times New Roman"/>
        </w:rPr>
        <w:t>Definiciones</w:t>
      </w:r>
      <w:bookmarkEnd w:id="749"/>
    </w:p>
    <w:p>
      <w:pPr>
        <w:numPr>
          <w:ilvl w:val="0"/>
          <w:numId w:val="106"/>
        </w:numPr>
        <w:spacing w:before="60" w:after="60"/>
        <w:ind w:left="1260" w:hanging="720"/>
        <w:jc w:val="both"/>
        <w:rPr>
          <w:sz w:val="22"/>
          <w:szCs w:val="22"/>
          <w:lang w:val="es-ES"/>
        </w:rPr>
      </w:pPr>
      <w:r>
        <w:rPr>
          <w:sz w:val="22"/>
          <w:szCs w:val="22"/>
          <w:lang w:val="es-ES"/>
        </w:rPr>
        <w:t>Las siguientes palabras y expresiones tendrán los significados que aquí se les asigna</w:t>
      </w:r>
      <w:r>
        <w:rPr>
          <w:bCs/>
          <w:sz w:val="22"/>
          <w:szCs w:val="22"/>
          <w:lang w:val="es-ES"/>
        </w:rPr>
        <w:t>.</w:t>
      </w:r>
    </w:p>
    <w:p>
      <w:pPr>
        <w:numPr>
          <w:ilvl w:val="0"/>
          <w:numId w:val="107"/>
        </w:numPr>
        <w:spacing w:before="60" w:after="60"/>
        <w:ind w:left="1985" w:hanging="709"/>
        <w:jc w:val="both"/>
        <w:rPr>
          <w:sz w:val="22"/>
          <w:szCs w:val="22"/>
          <w:lang w:val="es-ES"/>
        </w:rPr>
      </w:pPr>
      <w:r>
        <w:rPr>
          <w:sz w:val="22"/>
          <w:szCs w:val="22"/>
          <w:lang w:val="es-ES"/>
        </w:rPr>
        <w:t>“Banco” significa el Banco Interamericano de Desarrollo (BID) o cualquier fondo administrado por el Banco.</w:t>
      </w:r>
    </w:p>
    <w:p>
      <w:pPr>
        <w:numPr>
          <w:ilvl w:val="0"/>
          <w:numId w:val="107"/>
        </w:numPr>
        <w:spacing w:before="60" w:after="60"/>
        <w:ind w:left="1985" w:hanging="709"/>
        <w:jc w:val="both"/>
        <w:rPr>
          <w:sz w:val="22"/>
          <w:szCs w:val="22"/>
          <w:lang w:val="es-ES"/>
        </w:rPr>
      </w:pPr>
      <w:r>
        <w:rPr>
          <w:sz w:val="22"/>
          <w:szCs w:val="22"/>
          <w:lang w:val="es-ES"/>
        </w:rPr>
        <w:t>“Contrato” significa el Convenio Contractual celebrado entre el Comprador y el Proveedor, junto con los Documentos del Contrato allí referidos, incluyendo todos los anexos y apéndices, y todos los documentos incorporados allí por referencia.</w:t>
      </w:r>
    </w:p>
    <w:p>
      <w:pPr>
        <w:numPr>
          <w:ilvl w:val="0"/>
          <w:numId w:val="107"/>
        </w:numPr>
        <w:spacing w:before="60" w:after="60"/>
        <w:ind w:left="1985" w:hanging="709"/>
        <w:jc w:val="both"/>
        <w:rPr>
          <w:sz w:val="22"/>
          <w:szCs w:val="22"/>
          <w:lang w:val="es-ES"/>
        </w:rPr>
      </w:pPr>
      <w:r>
        <w:rPr>
          <w:sz w:val="22"/>
          <w:szCs w:val="22"/>
          <w:lang w:val="es-ES"/>
        </w:rPr>
        <w:t>“Documentos del Contrato” significa los documentos enumerados en el Convenio Contractual, incluyendo cualquier enmienda.</w:t>
      </w:r>
    </w:p>
    <w:p>
      <w:pPr>
        <w:numPr>
          <w:ilvl w:val="0"/>
          <w:numId w:val="107"/>
        </w:numPr>
        <w:spacing w:before="60" w:after="60"/>
        <w:ind w:left="1985" w:hanging="709"/>
        <w:jc w:val="both"/>
        <w:rPr>
          <w:sz w:val="22"/>
          <w:szCs w:val="22"/>
          <w:lang w:val="es-ES"/>
        </w:rPr>
      </w:pPr>
      <w:r>
        <w:rPr>
          <w:sz w:val="22"/>
          <w:szCs w:val="22"/>
          <w:lang w:val="es-ES"/>
        </w:rPr>
        <w:t>“Precio del Contrato” significa el precio pagadero al Proveedor según se especifica en el Convenio Contractual, sujeto a las condiciones y ajustes allí estipulados o deducciones propuestas, según corresponda en virtud del Contrato.</w:t>
      </w:r>
    </w:p>
    <w:p>
      <w:pPr>
        <w:numPr>
          <w:ilvl w:val="0"/>
          <w:numId w:val="107"/>
        </w:numPr>
        <w:spacing w:before="60" w:after="60"/>
        <w:ind w:left="1985" w:hanging="709"/>
        <w:jc w:val="both"/>
        <w:rPr>
          <w:sz w:val="22"/>
          <w:szCs w:val="22"/>
          <w:lang w:val="es-ES"/>
        </w:rPr>
      </w:pPr>
      <w:r>
        <w:rPr>
          <w:sz w:val="22"/>
          <w:szCs w:val="22"/>
          <w:lang w:val="es-ES"/>
        </w:rPr>
        <w:t>“Día” significa día calendario.</w:t>
      </w:r>
    </w:p>
    <w:p>
      <w:pPr>
        <w:numPr>
          <w:ilvl w:val="0"/>
          <w:numId w:val="107"/>
        </w:numPr>
        <w:spacing w:before="60" w:after="60"/>
        <w:ind w:left="1985" w:hanging="709"/>
        <w:jc w:val="both"/>
        <w:rPr>
          <w:sz w:val="22"/>
          <w:szCs w:val="22"/>
          <w:lang w:val="es-ES"/>
        </w:rPr>
      </w:pPr>
      <w:r>
        <w:rPr>
          <w:sz w:val="22"/>
          <w:szCs w:val="22"/>
          <w:lang w:val="es-ES"/>
        </w:rPr>
        <w:t xml:space="preserve">“Cumplimiento” significa que el Proveedor ha completado la prestación de los Servicios Conexos de acuerdo con los términos y condiciones establecidas en el Contrato. </w:t>
      </w:r>
    </w:p>
    <w:p>
      <w:pPr>
        <w:numPr>
          <w:ilvl w:val="0"/>
          <w:numId w:val="107"/>
        </w:numPr>
        <w:spacing w:before="60" w:after="60"/>
        <w:ind w:left="1985" w:hanging="709"/>
        <w:jc w:val="both"/>
        <w:rPr>
          <w:sz w:val="22"/>
          <w:szCs w:val="22"/>
          <w:lang w:val="es-ES"/>
        </w:rPr>
      </w:pPr>
      <w:r>
        <w:rPr>
          <w:sz w:val="22"/>
          <w:szCs w:val="22"/>
          <w:lang w:val="es-ES"/>
        </w:rPr>
        <w:t>“CGC” significa las Condiciones Generales del Contrato.</w:t>
      </w:r>
    </w:p>
    <w:p>
      <w:pPr>
        <w:numPr>
          <w:ilvl w:val="0"/>
          <w:numId w:val="107"/>
        </w:numPr>
        <w:spacing w:before="60" w:after="60"/>
        <w:ind w:left="1985" w:hanging="709"/>
        <w:jc w:val="both"/>
        <w:rPr>
          <w:sz w:val="22"/>
          <w:szCs w:val="22"/>
          <w:lang w:val="es-ES"/>
        </w:rPr>
      </w:pPr>
      <w:r>
        <w:rPr>
          <w:sz w:val="22"/>
          <w:szCs w:val="22"/>
          <w:lang w:val="es-ES"/>
        </w:rPr>
        <w:t>“Bienes” significa todos los productos, materia prima, maquinaria y equipo, y otros materiales que el Proveedor deba proporcionar al Comprador en virtud del Contrato.</w:t>
      </w:r>
    </w:p>
    <w:p>
      <w:pPr>
        <w:numPr>
          <w:ilvl w:val="0"/>
          <w:numId w:val="107"/>
        </w:numPr>
        <w:spacing w:before="60" w:after="60"/>
        <w:ind w:left="1985" w:hanging="709"/>
        <w:jc w:val="both"/>
        <w:rPr>
          <w:sz w:val="22"/>
          <w:szCs w:val="22"/>
          <w:lang w:val="es-ES"/>
        </w:rPr>
      </w:pPr>
      <w:r>
        <w:rPr>
          <w:sz w:val="22"/>
          <w:szCs w:val="22"/>
          <w:lang w:val="es-ES"/>
        </w:rPr>
        <w:t xml:space="preserve">“El país del Comprador” es el país especificado en las Condiciones Especiales del Contrato </w:t>
      </w:r>
      <w:r>
        <w:rPr>
          <w:b/>
          <w:bCs/>
          <w:sz w:val="22"/>
          <w:szCs w:val="22"/>
          <w:lang w:val="es-ES"/>
        </w:rPr>
        <w:t>(CEC)</w:t>
      </w:r>
      <w:r>
        <w:rPr>
          <w:sz w:val="22"/>
          <w:szCs w:val="22"/>
          <w:lang w:val="es-ES"/>
        </w:rPr>
        <w:t>.</w:t>
      </w:r>
    </w:p>
    <w:p>
      <w:pPr>
        <w:numPr>
          <w:ilvl w:val="0"/>
          <w:numId w:val="107"/>
        </w:numPr>
        <w:spacing w:before="60" w:after="60"/>
        <w:ind w:left="1985" w:hanging="709"/>
        <w:jc w:val="both"/>
        <w:rPr>
          <w:sz w:val="22"/>
          <w:szCs w:val="22"/>
          <w:lang w:val="es-ES"/>
        </w:rPr>
      </w:pPr>
      <w:r>
        <w:rPr>
          <w:sz w:val="22"/>
          <w:szCs w:val="22"/>
          <w:lang w:val="es-ES"/>
        </w:rPr>
        <w:t xml:space="preserve">“Comprador” significa la entidad que compra los Bienes y Servicios Conexos, según se indica en las </w:t>
      </w:r>
      <w:r>
        <w:rPr>
          <w:b/>
          <w:sz w:val="22"/>
          <w:szCs w:val="22"/>
          <w:lang w:val="es-ES"/>
        </w:rPr>
        <w:t>CEC</w:t>
      </w:r>
      <w:r>
        <w:rPr>
          <w:sz w:val="22"/>
          <w:szCs w:val="22"/>
          <w:lang w:val="es-ES"/>
        </w:rPr>
        <w:t>.</w:t>
      </w:r>
    </w:p>
    <w:p>
      <w:pPr>
        <w:numPr>
          <w:ilvl w:val="0"/>
          <w:numId w:val="107"/>
        </w:numPr>
        <w:spacing w:before="60" w:after="60"/>
        <w:ind w:left="1985" w:hanging="709"/>
        <w:jc w:val="both"/>
        <w:rPr>
          <w:sz w:val="22"/>
          <w:szCs w:val="22"/>
          <w:lang w:val="es-ES"/>
        </w:rPr>
      </w:pPr>
      <w:r>
        <w:rPr>
          <w:sz w:val="22"/>
          <w:szCs w:val="22"/>
          <w:lang w:val="es-ES"/>
        </w:rPr>
        <w:t xml:space="preserve">“Servicios Conexos” significan los servicios incidentales relativos a la provisión de los bienes, tales como seguro, instalación, capacitación y mantenimiento inicial y otras obligaciones similares del Proveedor en virtud del Contrato. </w:t>
      </w:r>
    </w:p>
    <w:p>
      <w:pPr>
        <w:numPr>
          <w:ilvl w:val="0"/>
          <w:numId w:val="107"/>
        </w:numPr>
        <w:spacing w:before="60" w:after="60"/>
        <w:ind w:left="1985" w:hanging="709"/>
        <w:jc w:val="both"/>
        <w:rPr>
          <w:sz w:val="22"/>
          <w:szCs w:val="22"/>
          <w:lang w:val="es-ES"/>
        </w:rPr>
      </w:pPr>
      <w:r>
        <w:rPr>
          <w:sz w:val="22"/>
          <w:szCs w:val="22"/>
          <w:lang w:val="es-ES"/>
        </w:rPr>
        <w:t>“CEC” significa las Condiciones Especiales del Contrato.</w:t>
      </w:r>
    </w:p>
    <w:p>
      <w:pPr>
        <w:numPr>
          <w:ilvl w:val="0"/>
          <w:numId w:val="107"/>
        </w:numPr>
        <w:spacing w:before="60" w:after="60"/>
        <w:ind w:left="1985" w:hanging="709"/>
        <w:jc w:val="both"/>
        <w:rPr>
          <w:sz w:val="22"/>
          <w:szCs w:val="22"/>
          <w:lang w:val="es-ES"/>
        </w:rPr>
      </w:pPr>
      <w:r>
        <w:rPr>
          <w:sz w:val="22"/>
          <w:szCs w:val="22"/>
          <w:lang w:val="es-ES"/>
        </w:rPr>
        <w:t>“Subcontratista” significa cualquier persona natural, entidad privada o pública, o cualquier combinación de ellas, con quienes el Proveedor ha subcontratado el suministro de cualquier porción de los Bienes o la ejecución de cualquier parte de los Servicios.</w:t>
      </w:r>
    </w:p>
    <w:p>
      <w:pPr>
        <w:numPr>
          <w:ilvl w:val="0"/>
          <w:numId w:val="107"/>
        </w:numPr>
        <w:spacing w:before="60" w:after="60"/>
        <w:ind w:left="1985" w:hanging="709"/>
        <w:jc w:val="both"/>
        <w:rPr>
          <w:sz w:val="22"/>
          <w:szCs w:val="22"/>
          <w:lang w:val="es-ES"/>
        </w:rPr>
      </w:pPr>
      <w:r>
        <w:rPr>
          <w:sz w:val="22"/>
          <w:szCs w:val="22"/>
          <w:lang w:val="es-ES"/>
        </w:rPr>
        <w:t xml:space="preserve">“Proveedor” significa la persona natural, jurídica o entidad gubernamental, o una combinación de éstas, cuya oferta para ejecutar el Contrato ha sido aceptada por el Comprador y es denominada como tal en el Convenio Contractual. </w:t>
      </w:r>
    </w:p>
    <w:p>
      <w:pPr>
        <w:numPr>
          <w:ilvl w:val="0"/>
          <w:numId w:val="107"/>
        </w:numPr>
        <w:spacing w:before="60" w:after="60"/>
        <w:ind w:left="1985" w:hanging="709"/>
        <w:jc w:val="both"/>
        <w:rPr>
          <w:b/>
          <w:sz w:val="22"/>
          <w:szCs w:val="22"/>
          <w:lang w:val="es-ES"/>
        </w:rPr>
      </w:pPr>
      <w:r>
        <w:rPr>
          <w:sz w:val="22"/>
          <w:szCs w:val="22"/>
          <w:lang w:val="es-ES"/>
        </w:rPr>
        <w:t>“El Sitio del Proyecto”, donde corresponde, significa el lugar citado en las CEC.</w:t>
      </w:r>
    </w:p>
    <w:p>
      <w:pPr>
        <w:pStyle w:val="CGCONTRATO"/>
        <w:rPr>
          <w:rFonts w:ascii="Times New Roman" w:hAnsi="Times New Roman"/>
        </w:rPr>
      </w:pPr>
      <w:bookmarkStart w:id="754" w:name="_Toc403379142"/>
      <w:bookmarkStart w:id="755" w:name="_Toc106182827"/>
      <w:bookmarkStart w:id="756" w:name="_Toc317173376"/>
      <w:r>
        <w:rPr>
          <w:rFonts w:ascii="Times New Roman" w:hAnsi="Times New Roman"/>
        </w:rPr>
        <w:t>Documentos del Contrato</w:t>
      </w:r>
      <w:bookmarkEnd w:id="754"/>
      <w:r>
        <w:rPr>
          <w:rFonts w:ascii="Times New Roman" w:hAnsi="Times New Roman"/>
        </w:rPr>
        <w:t xml:space="preserve"> </w:t>
      </w:r>
      <w:bookmarkEnd w:id="755"/>
      <w:bookmarkEnd w:id="756"/>
    </w:p>
    <w:p>
      <w:pPr>
        <w:numPr>
          <w:ilvl w:val="0"/>
          <w:numId w:val="108"/>
        </w:numPr>
        <w:spacing w:before="60" w:after="60"/>
        <w:ind w:left="1260" w:hanging="720"/>
        <w:jc w:val="both"/>
        <w:rPr>
          <w:b/>
          <w:sz w:val="22"/>
          <w:szCs w:val="22"/>
          <w:lang w:val="es-ES"/>
        </w:rPr>
      </w:pPr>
      <w:r>
        <w:rPr>
          <w:sz w:val="22"/>
          <w:szCs w:val="22"/>
          <w:lang w:val="es-ES"/>
        </w:rPr>
        <w:t>Sujetos al orden de precedencia establecido en el Convenio Contractual, se entiende que todos los documentos que forman parte integral del Contrato (y todos sus componentes allí incluidos) son correlativos, complementarios y recíprocamente aclaratorios. El Convenio Contractual deberá leerse de manera integral.</w:t>
      </w:r>
    </w:p>
    <w:p>
      <w:pPr>
        <w:pStyle w:val="CGCONTRATO"/>
        <w:rPr>
          <w:rFonts w:ascii="Times New Roman" w:hAnsi="Times New Roman"/>
        </w:rPr>
      </w:pPr>
      <w:bookmarkStart w:id="757" w:name="_Toc403379143"/>
      <w:r>
        <w:rPr>
          <w:rFonts w:ascii="Times New Roman" w:hAnsi="Times New Roman"/>
        </w:rPr>
        <w:t>Prácticas Prohibidas</w:t>
      </w:r>
      <w:bookmarkEnd w:id="757"/>
      <w:r>
        <w:rPr>
          <w:rFonts w:ascii="Times New Roman" w:hAnsi="Times New Roman"/>
        </w:rPr>
        <w:t xml:space="preserve"> </w:t>
      </w:r>
    </w:p>
    <w:p>
      <w:pPr>
        <w:pStyle w:val="Prrafodelista"/>
        <w:numPr>
          <w:ilvl w:val="0"/>
          <w:numId w:val="172"/>
        </w:numPr>
        <w:spacing w:after="200"/>
        <w:ind w:left="1276" w:hanging="709"/>
        <w:jc w:val="both"/>
        <w:rPr>
          <w:sz w:val="22"/>
          <w:szCs w:val="22"/>
          <w:lang w:val="es-ES"/>
        </w:rPr>
      </w:pPr>
      <w:bookmarkStart w:id="758" w:name="_Toc403379144"/>
      <w:r>
        <w:rPr>
          <w:sz w:val="22"/>
          <w:szCs w:val="22"/>
          <w:lang w:val="es-ES"/>
        </w:rPr>
        <w:t xml:space="preserve">El Banco exige a todos los Prestatarios (incluyendo los beneficiarios de donaciones), organismos ejecutores y organismos Compradores incluyendo miembros de su personal, </w:t>
      </w:r>
      <w:r>
        <w:rPr>
          <w:sz w:val="22"/>
          <w:szCs w:val="22"/>
          <w:lang w:val="es-ES"/>
        </w:rPr>
        <w:lastRenderedPageBreak/>
        <w:t>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Pr>
          <w:sz w:val="22"/>
          <w:szCs w:val="22"/>
          <w:vertAlign w:val="superscript"/>
          <w:lang w:val="es-ES"/>
        </w:rPr>
        <w:footnoteReference w:id="13"/>
      </w:r>
      <w:r>
        <w:rPr>
          <w:sz w:val="22"/>
          <w:szCs w:val="22"/>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pPr>
        <w:numPr>
          <w:ilvl w:val="0"/>
          <w:numId w:val="169"/>
        </w:numPr>
        <w:spacing w:after="200"/>
        <w:ind w:left="1560" w:hanging="284"/>
        <w:jc w:val="both"/>
        <w:rPr>
          <w:sz w:val="22"/>
          <w:szCs w:val="22"/>
          <w:lang w:val="es-ES"/>
        </w:rPr>
      </w:pPr>
      <w:r>
        <w:rPr>
          <w:sz w:val="22"/>
          <w:szCs w:val="22"/>
          <w:lang w:val="es-ES"/>
        </w:rPr>
        <w:t xml:space="preserve">A los efectos de esta disposición, las definiciones de las Prácticas Prohibidas son las siguientes: </w:t>
      </w:r>
    </w:p>
    <w:p>
      <w:pPr>
        <w:ind w:left="1990" w:hanging="430"/>
        <w:jc w:val="both"/>
        <w:rPr>
          <w:bCs/>
          <w:sz w:val="22"/>
          <w:szCs w:val="22"/>
          <w:lang w:val="es-ES"/>
        </w:rPr>
      </w:pPr>
      <w:r>
        <w:rPr>
          <w:bCs/>
          <w:sz w:val="22"/>
          <w:szCs w:val="22"/>
          <w:lang w:val="es-ES"/>
        </w:rPr>
        <w:t xml:space="preserve">(i)  Una </w:t>
      </w:r>
      <w:r>
        <w:rPr>
          <w:bCs/>
          <w:i/>
          <w:iCs/>
          <w:sz w:val="22"/>
          <w:szCs w:val="22"/>
          <w:lang w:val="es-ES"/>
        </w:rPr>
        <w:t>práctica corrupta</w:t>
      </w:r>
      <w:r>
        <w:rPr>
          <w:bCs/>
          <w:sz w:val="22"/>
          <w:szCs w:val="22"/>
          <w:lang w:val="es-ES"/>
        </w:rPr>
        <w:t xml:space="preserve"> consiste en ofrecer, dar, recibir o solicitar, directa o indirectamente, cualquier cosa de valor para influenciar indebidamente las acciones de otra parte;</w:t>
      </w:r>
    </w:p>
    <w:p>
      <w:pPr>
        <w:ind w:left="1990" w:hanging="430"/>
        <w:jc w:val="both"/>
        <w:rPr>
          <w:bCs/>
          <w:sz w:val="22"/>
          <w:szCs w:val="22"/>
          <w:lang w:val="es-ES"/>
        </w:rPr>
      </w:pPr>
      <w:r>
        <w:rPr>
          <w:bCs/>
          <w:sz w:val="22"/>
          <w:szCs w:val="22"/>
          <w:lang w:val="es-ES"/>
        </w:rPr>
        <w:t xml:space="preserve">(ii) Una </w:t>
      </w:r>
      <w:r>
        <w:rPr>
          <w:bCs/>
          <w:i/>
          <w:iCs/>
          <w:sz w:val="22"/>
          <w:szCs w:val="22"/>
          <w:lang w:val="es-ES"/>
        </w:rPr>
        <w:t>práctica fraudulenta</w:t>
      </w:r>
      <w:r>
        <w:rPr>
          <w:bCs/>
          <w:sz w:val="22"/>
          <w:szCs w:val="22"/>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pPr>
        <w:ind w:left="1990" w:hanging="430"/>
        <w:jc w:val="both"/>
        <w:rPr>
          <w:bCs/>
          <w:sz w:val="22"/>
          <w:szCs w:val="22"/>
          <w:lang w:val="es-ES"/>
        </w:rPr>
      </w:pPr>
      <w:r>
        <w:rPr>
          <w:bCs/>
          <w:sz w:val="22"/>
          <w:szCs w:val="22"/>
          <w:lang w:val="es-ES"/>
        </w:rPr>
        <w:t xml:space="preserve">(iii) Una </w:t>
      </w:r>
      <w:r>
        <w:rPr>
          <w:bCs/>
          <w:i/>
          <w:iCs/>
          <w:sz w:val="22"/>
          <w:szCs w:val="22"/>
          <w:lang w:val="es-ES"/>
        </w:rPr>
        <w:t>práctica coercitiva</w:t>
      </w:r>
      <w:r>
        <w:rPr>
          <w:bCs/>
          <w:sz w:val="22"/>
          <w:szCs w:val="22"/>
          <w:lang w:val="es-ES"/>
        </w:rPr>
        <w:t xml:space="preserve"> consiste en perjudicar o causar daño, o amenazar con perjudicar o causar daño, directa o indirectamente, a cualquier parte o a sus bienes para influenciar indebidamente las acciones de una parte;</w:t>
      </w:r>
    </w:p>
    <w:p>
      <w:pPr>
        <w:ind w:left="1990" w:hanging="430"/>
        <w:jc w:val="both"/>
        <w:rPr>
          <w:bCs/>
          <w:sz w:val="22"/>
          <w:szCs w:val="22"/>
          <w:lang w:val="es-ES"/>
        </w:rPr>
      </w:pPr>
      <w:r>
        <w:rPr>
          <w:bCs/>
          <w:sz w:val="22"/>
          <w:szCs w:val="22"/>
          <w:lang w:val="es-ES"/>
        </w:rPr>
        <w:t xml:space="preserve">(iv) Una </w:t>
      </w:r>
      <w:r>
        <w:rPr>
          <w:bCs/>
          <w:i/>
          <w:iCs/>
          <w:sz w:val="22"/>
          <w:szCs w:val="22"/>
          <w:lang w:val="es-ES"/>
        </w:rPr>
        <w:t>práctica colusoria</w:t>
      </w:r>
      <w:r>
        <w:rPr>
          <w:bCs/>
          <w:sz w:val="22"/>
          <w:szCs w:val="22"/>
          <w:lang w:val="es-ES"/>
        </w:rPr>
        <w:t xml:space="preserve"> es un acuerdo entre dos o más partes realizado con la intención de alcanzar un propósito inapropiado, lo que incluye influenciar en forma inapropiada las acciones de otra parte; </w:t>
      </w:r>
    </w:p>
    <w:p>
      <w:pPr>
        <w:ind w:left="1560"/>
        <w:jc w:val="both"/>
        <w:rPr>
          <w:bCs/>
          <w:sz w:val="22"/>
          <w:szCs w:val="22"/>
          <w:lang w:val="es-ES"/>
        </w:rPr>
      </w:pPr>
      <w:r>
        <w:rPr>
          <w:bCs/>
          <w:sz w:val="22"/>
          <w:szCs w:val="22"/>
          <w:lang w:val="es-ES"/>
        </w:rPr>
        <w:t xml:space="preserve">(v) Una </w:t>
      </w:r>
      <w:r>
        <w:rPr>
          <w:bCs/>
          <w:i/>
          <w:iCs/>
          <w:sz w:val="22"/>
          <w:szCs w:val="22"/>
          <w:lang w:val="es-ES"/>
        </w:rPr>
        <w:t>práctica obstructiva</w:t>
      </w:r>
      <w:r>
        <w:rPr>
          <w:bCs/>
          <w:sz w:val="22"/>
          <w:szCs w:val="22"/>
          <w:lang w:val="es-ES"/>
        </w:rPr>
        <w:t xml:space="preserve"> consiste en:</w:t>
      </w:r>
    </w:p>
    <w:p>
      <w:pPr>
        <w:numPr>
          <w:ilvl w:val="0"/>
          <w:numId w:val="171"/>
        </w:numPr>
        <w:spacing w:after="200"/>
        <w:ind w:left="2640"/>
        <w:jc w:val="both"/>
        <w:rPr>
          <w:bCs/>
          <w:sz w:val="22"/>
          <w:szCs w:val="22"/>
          <w:lang w:val="es-ES"/>
        </w:rPr>
      </w:pPr>
      <w:r>
        <w:rPr>
          <w:bCs/>
          <w:sz w:val="22"/>
          <w:szCs w:val="22"/>
          <w:lang w:val="es-ES"/>
        </w:rPr>
        <w:t xml:space="preserve">destruir, falsificar, alterar u ocultar evidencia significativa para una investigación del Grupo BID, o realizar declaraciones falsas ante los investigadores con la intención de impedir una investigación del Grupo BID; </w:t>
      </w:r>
    </w:p>
    <w:p>
      <w:pPr>
        <w:numPr>
          <w:ilvl w:val="0"/>
          <w:numId w:val="171"/>
        </w:numPr>
        <w:spacing w:after="200"/>
        <w:ind w:left="2640"/>
        <w:jc w:val="both"/>
        <w:rPr>
          <w:bCs/>
          <w:sz w:val="22"/>
          <w:szCs w:val="22"/>
          <w:lang w:val="es-ES"/>
        </w:rPr>
      </w:pPr>
      <w:r>
        <w:rPr>
          <w:bCs/>
          <w:sz w:val="22"/>
          <w:szCs w:val="22"/>
          <w:lang w:val="es-ES"/>
        </w:rPr>
        <w:t xml:space="preserve">amenazar, hostigar o intimidar a cualquier parte para impedir que divulgue su conocimiento de asuntos que son importantes para una investigación del Grupo BID o que prosiga con la investigación; o </w:t>
      </w:r>
    </w:p>
    <w:p>
      <w:pPr>
        <w:numPr>
          <w:ilvl w:val="0"/>
          <w:numId w:val="171"/>
        </w:numPr>
        <w:spacing w:after="200"/>
        <w:ind w:left="2640"/>
        <w:jc w:val="both"/>
        <w:rPr>
          <w:bCs/>
          <w:sz w:val="22"/>
          <w:szCs w:val="22"/>
          <w:lang w:val="es-ES"/>
        </w:rPr>
      </w:pPr>
      <w:r>
        <w:rPr>
          <w:bCs/>
          <w:sz w:val="22"/>
          <w:szCs w:val="22"/>
          <w:lang w:val="es-ES"/>
        </w:rPr>
        <w:t xml:space="preserve">actos realizados con la intención de impedir el ejercicio de los derechos contractuales de auditoría e inspección del Grupo BID previstos en la Subcláusula 3.1 (f) abajo, o sus derechos de acceso a la información; </w:t>
      </w:r>
    </w:p>
    <w:p>
      <w:pPr>
        <w:spacing w:before="120"/>
        <w:ind w:left="1990" w:hanging="430"/>
        <w:jc w:val="both"/>
        <w:rPr>
          <w:bCs/>
          <w:sz w:val="22"/>
          <w:szCs w:val="22"/>
          <w:lang w:val="es-ES"/>
        </w:rPr>
      </w:pPr>
      <w:r>
        <w:rPr>
          <w:bCs/>
          <w:sz w:val="22"/>
          <w:szCs w:val="22"/>
          <w:lang w:val="es-ES"/>
        </w:rPr>
        <w:t xml:space="preserve">(vi) Una </w:t>
      </w:r>
      <w:r>
        <w:rPr>
          <w:bCs/>
          <w:i/>
          <w:iCs/>
          <w:sz w:val="22"/>
          <w:szCs w:val="22"/>
          <w:lang w:val="es-ES"/>
        </w:rPr>
        <w:t>apropiación indebida</w:t>
      </w:r>
      <w:r>
        <w:rPr>
          <w:bCs/>
          <w:sz w:val="22"/>
          <w:szCs w:val="22"/>
          <w:lang w:val="es-ES"/>
        </w:rPr>
        <w:t xml:space="preserve"> consiste en el uso de fondos o recursos del Grupo BID para un </w:t>
      </w:r>
      <w:r>
        <w:rPr>
          <w:bCs/>
          <w:i/>
          <w:iCs/>
          <w:sz w:val="22"/>
          <w:szCs w:val="22"/>
          <w:lang w:val="es-ES"/>
        </w:rPr>
        <w:t>propósito</w:t>
      </w:r>
      <w:r>
        <w:rPr>
          <w:bCs/>
          <w:sz w:val="22"/>
          <w:szCs w:val="22"/>
          <w:lang w:val="es-ES"/>
        </w:rPr>
        <w:t xml:space="preserve"> indebido o para un propósito no autorizado, cometido de forma intencional o por negligencia grave.</w:t>
      </w:r>
    </w:p>
    <w:p>
      <w:pPr>
        <w:numPr>
          <w:ilvl w:val="0"/>
          <w:numId w:val="169"/>
        </w:numPr>
        <w:spacing w:before="120" w:after="200"/>
        <w:ind w:left="1069"/>
        <w:jc w:val="both"/>
        <w:rPr>
          <w:bCs/>
          <w:sz w:val="22"/>
          <w:szCs w:val="22"/>
          <w:lang w:val="es-ES"/>
        </w:rPr>
      </w:pPr>
      <w:r>
        <w:rPr>
          <w:bCs/>
          <w:sz w:val="22"/>
          <w:szCs w:val="22"/>
          <w:lang w:val="es-ES"/>
        </w:rPr>
        <w:t xml:space="preserve">Si se determina que, de conformidad con los Procedimientos de Sanciones del Banco, que los Prestatarios (incluyendo los beneficiarios de donaciones), organismos ejecutores y </w:t>
      </w:r>
      <w:r>
        <w:rPr>
          <w:bCs/>
          <w:sz w:val="22"/>
          <w:szCs w:val="22"/>
          <w:lang w:val="es-ES"/>
        </w:rPr>
        <w:lastRenderedPageBreak/>
        <w:t xml:space="preserve">organismos Compradores incluyendo miembros de su personal, </w:t>
      </w:r>
      <w:r>
        <w:rPr>
          <w:sz w:val="22"/>
          <w:szCs w:val="22"/>
          <w:lang w:val="es-ES"/>
        </w:rPr>
        <w:t>cualquier</w:t>
      </w:r>
      <w:r>
        <w:rPr>
          <w:bCs/>
          <w:sz w:val="22"/>
          <w:szCs w:val="22"/>
          <w:lang w:val="es-E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pPr>
        <w:numPr>
          <w:ilvl w:val="0"/>
          <w:numId w:val="168"/>
        </w:numPr>
        <w:spacing w:after="200"/>
        <w:ind w:left="2311"/>
        <w:jc w:val="both"/>
        <w:rPr>
          <w:bCs/>
          <w:sz w:val="22"/>
          <w:szCs w:val="22"/>
          <w:lang w:val="es-ES"/>
        </w:rPr>
      </w:pPr>
      <w:r>
        <w:rPr>
          <w:bCs/>
          <w:sz w:val="22"/>
          <w:szCs w:val="22"/>
          <w:lang w:val="es-ES"/>
        </w:rPr>
        <w:t>no financiar ninguna propuesta de adjudicación de un contrato para la adquisición de bienes o servicios, la contratación de obras, o servicios de consultoría;</w:t>
      </w:r>
    </w:p>
    <w:p>
      <w:pPr>
        <w:numPr>
          <w:ilvl w:val="0"/>
          <w:numId w:val="168"/>
        </w:numPr>
        <w:spacing w:after="200"/>
        <w:ind w:left="2311"/>
        <w:jc w:val="both"/>
        <w:rPr>
          <w:bCs/>
          <w:sz w:val="22"/>
          <w:szCs w:val="22"/>
          <w:lang w:val="es-ES"/>
        </w:rPr>
      </w:pPr>
      <w:r>
        <w:rPr>
          <w:bCs/>
          <w:sz w:val="22"/>
          <w:szCs w:val="22"/>
          <w:lang w:val="es-ES"/>
        </w:rPr>
        <w:t>suspender los desembolsos de la operación si se determina, en cualquier etapa, que un empleado, agencia o representante del Prestatario, el Organismo Ejecutor o el Organismo Comprador ha cometido una Práctica Prohibida;</w:t>
      </w:r>
    </w:p>
    <w:p>
      <w:pPr>
        <w:numPr>
          <w:ilvl w:val="0"/>
          <w:numId w:val="168"/>
        </w:numPr>
        <w:spacing w:after="200"/>
        <w:ind w:left="2311"/>
        <w:jc w:val="both"/>
        <w:rPr>
          <w:bCs/>
          <w:sz w:val="22"/>
          <w:szCs w:val="22"/>
          <w:lang w:val="es-ES"/>
        </w:rPr>
      </w:pPr>
      <w:r>
        <w:rPr>
          <w:bCs/>
          <w:sz w:val="22"/>
          <w:szCs w:val="22"/>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pPr>
        <w:numPr>
          <w:ilvl w:val="0"/>
          <w:numId w:val="168"/>
        </w:numPr>
        <w:spacing w:after="200"/>
        <w:ind w:left="2311"/>
        <w:jc w:val="both"/>
        <w:rPr>
          <w:bCs/>
          <w:sz w:val="22"/>
          <w:szCs w:val="22"/>
          <w:lang w:val="es-ES"/>
        </w:rPr>
      </w:pPr>
      <w:r>
        <w:rPr>
          <w:bCs/>
          <w:sz w:val="22"/>
          <w:szCs w:val="22"/>
          <w:lang w:val="es-ES"/>
        </w:rPr>
        <w:t>emitir una amonestación a la firma, entidad o individuo en el formato de una carta oficial de censura por su conducta;</w:t>
      </w:r>
    </w:p>
    <w:p>
      <w:pPr>
        <w:numPr>
          <w:ilvl w:val="0"/>
          <w:numId w:val="168"/>
        </w:numPr>
        <w:spacing w:after="200"/>
        <w:ind w:left="2311"/>
        <w:jc w:val="both"/>
        <w:rPr>
          <w:bCs/>
          <w:sz w:val="22"/>
          <w:szCs w:val="22"/>
          <w:lang w:val="es-ES"/>
        </w:rPr>
      </w:pPr>
      <w:r>
        <w:rPr>
          <w:bCs/>
          <w:sz w:val="22"/>
          <w:szCs w:val="22"/>
          <w:lang w:val="es-ES"/>
        </w:rPr>
        <w:t>declarar a una firma, entidad o individuo inelegible, en forma permanente o por un período determinado de tiempo, para la participación y/o la adjudicación de contratos adicionales financiados con recursos del Grupo BID;</w:t>
      </w:r>
    </w:p>
    <w:p>
      <w:pPr>
        <w:numPr>
          <w:ilvl w:val="0"/>
          <w:numId w:val="168"/>
        </w:numPr>
        <w:spacing w:after="200"/>
        <w:ind w:left="2311"/>
        <w:jc w:val="both"/>
        <w:rPr>
          <w:bCs/>
          <w:sz w:val="22"/>
          <w:szCs w:val="22"/>
          <w:lang w:val="es-ES"/>
        </w:rPr>
      </w:pPr>
      <w:r>
        <w:rPr>
          <w:bCs/>
          <w:sz w:val="22"/>
          <w:szCs w:val="22"/>
          <w:lang w:val="es-E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pPr>
        <w:numPr>
          <w:ilvl w:val="0"/>
          <w:numId w:val="168"/>
        </w:numPr>
        <w:spacing w:after="200"/>
        <w:ind w:left="2311"/>
        <w:jc w:val="both"/>
        <w:rPr>
          <w:bCs/>
          <w:sz w:val="22"/>
          <w:szCs w:val="22"/>
          <w:lang w:val="es-ES"/>
        </w:rPr>
      </w:pPr>
      <w:r>
        <w:rPr>
          <w:bCs/>
          <w:sz w:val="22"/>
          <w:szCs w:val="22"/>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pPr>
        <w:numPr>
          <w:ilvl w:val="0"/>
          <w:numId w:val="168"/>
        </w:numPr>
        <w:spacing w:after="200"/>
        <w:ind w:left="2311"/>
        <w:jc w:val="both"/>
        <w:rPr>
          <w:bCs/>
          <w:sz w:val="22"/>
          <w:szCs w:val="22"/>
          <w:lang w:val="es-ES"/>
        </w:rPr>
      </w:pPr>
      <w:r>
        <w:rPr>
          <w:bCs/>
          <w:sz w:val="22"/>
          <w:szCs w:val="22"/>
          <w:lang w:val="es-ES"/>
        </w:rPr>
        <w:t>remitir el tema a las autoridades nacionales pertinentes encargadas de hacer cumplir las leyes.</w:t>
      </w:r>
    </w:p>
    <w:p>
      <w:pPr>
        <w:numPr>
          <w:ilvl w:val="0"/>
          <w:numId w:val="169"/>
        </w:numPr>
        <w:spacing w:after="200"/>
        <w:ind w:left="1069"/>
        <w:jc w:val="both"/>
        <w:rPr>
          <w:sz w:val="22"/>
          <w:szCs w:val="22"/>
          <w:lang w:val="es-ES"/>
        </w:rPr>
      </w:pPr>
      <w:r>
        <w:rPr>
          <w:sz w:val="22"/>
          <w:szCs w:val="22"/>
          <w:lang w:val="es-ES"/>
        </w:rPr>
        <w:t xml:space="preserve">Lo dispuesto en los incisos (i) y (ii) de la Subcláusula 3.1 (b) se aplicará también en los casos en que las </w:t>
      </w:r>
      <w:r>
        <w:rPr>
          <w:bCs/>
          <w:sz w:val="22"/>
          <w:szCs w:val="22"/>
          <w:lang w:val="es-ES"/>
        </w:rPr>
        <w:t>partes</w:t>
      </w:r>
      <w:r>
        <w:rPr>
          <w:sz w:val="22"/>
          <w:szCs w:val="22"/>
          <w:lang w:val="es-ES"/>
        </w:rPr>
        <w:t xml:space="preserve"> hayan sido declaradas temporalmente inelegibles para la adjudicación de nuevos contratos en espera de que se adopte una decisión definitiva en un proceso de sanción, u otra resolución.</w:t>
      </w:r>
    </w:p>
    <w:p>
      <w:pPr>
        <w:numPr>
          <w:ilvl w:val="0"/>
          <w:numId w:val="169"/>
        </w:numPr>
        <w:spacing w:after="200"/>
        <w:ind w:left="1069"/>
        <w:jc w:val="both"/>
        <w:rPr>
          <w:sz w:val="22"/>
          <w:szCs w:val="22"/>
          <w:lang w:val="es-ES"/>
        </w:rPr>
      </w:pPr>
      <w:r>
        <w:rPr>
          <w:sz w:val="22"/>
          <w:szCs w:val="22"/>
          <w:lang w:val="es-ES"/>
        </w:rPr>
        <w:lastRenderedPageBreak/>
        <w:t xml:space="preserve">La </w:t>
      </w:r>
      <w:r>
        <w:rPr>
          <w:bCs/>
          <w:sz w:val="22"/>
          <w:szCs w:val="22"/>
          <w:lang w:val="es-ES"/>
        </w:rPr>
        <w:t>imposición</w:t>
      </w:r>
      <w:r>
        <w:rPr>
          <w:sz w:val="22"/>
          <w:szCs w:val="22"/>
          <w:lang w:val="es-ES"/>
        </w:rPr>
        <w:t xml:space="preserve"> de cualquier medida definitiva que sea tomada por el Banco de conformidad con las provisiones referidas anteriormente será de carácter público.</w:t>
      </w:r>
    </w:p>
    <w:p>
      <w:pPr>
        <w:numPr>
          <w:ilvl w:val="0"/>
          <w:numId w:val="169"/>
        </w:numPr>
        <w:spacing w:after="200"/>
        <w:ind w:left="1069"/>
        <w:jc w:val="both"/>
        <w:rPr>
          <w:sz w:val="22"/>
          <w:szCs w:val="22"/>
          <w:lang w:val="es-ES"/>
        </w:rPr>
      </w:pPr>
      <w:r>
        <w:rPr>
          <w:sz w:val="22"/>
          <w:szCs w:val="22"/>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Pr>
          <w:bCs/>
          <w:sz w:val="22"/>
          <w:szCs w:val="22"/>
          <w:lang w:val="es-ES"/>
        </w:rPr>
        <w:t>subcontratistas</w:t>
      </w:r>
      <w:r>
        <w:rPr>
          <w:sz w:val="22"/>
          <w:szCs w:val="22"/>
          <w:lang w:val="es-ES"/>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pPr>
        <w:numPr>
          <w:ilvl w:val="0"/>
          <w:numId w:val="169"/>
        </w:numPr>
        <w:spacing w:after="200"/>
        <w:ind w:left="1069"/>
        <w:jc w:val="both"/>
        <w:rPr>
          <w:sz w:val="22"/>
          <w:szCs w:val="22"/>
          <w:lang w:val="es-ES"/>
        </w:rPr>
      </w:pPr>
      <w:r>
        <w:rPr>
          <w:sz w:val="22"/>
          <w:szCs w:val="22"/>
          <w:lang w:val="es-ES"/>
        </w:rPr>
        <w:t xml:space="preserve">El Banco exige que los licitantes, oferentes, proponentes, solicitantes, proveedores de </w:t>
      </w:r>
      <w:r>
        <w:rPr>
          <w:bCs/>
          <w:sz w:val="22"/>
          <w:szCs w:val="22"/>
          <w:lang w:val="es-ES"/>
        </w:rPr>
        <w:t>bienes</w:t>
      </w:r>
      <w:r>
        <w:rPr>
          <w:sz w:val="22"/>
          <w:szCs w:val="22"/>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pPr>
        <w:numPr>
          <w:ilvl w:val="0"/>
          <w:numId w:val="169"/>
        </w:numPr>
        <w:spacing w:after="200"/>
        <w:ind w:left="1069"/>
        <w:jc w:val="both"/>
        <w:rPr>
          <w:sz w:val="22"/>
          <w:szCs w:val="22"/>
          <w:lang w:val="es-ES"/>
        </w:rPr>
      </w:pPr>
      <w:r>
        <w:rPr>
          <w:sz w:val="22"/>
          <w:szCs w:val="22"/>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w:t>
      </w:r>
      <w:r>
        <w:rPr>
          <w:sz w:val="22"/>
          <w:szCs w:val="22"/>
          <w:lang w:val="es-ES"/>
        </w:rPr>
        <w:lastRenderedPageBreak/>
        <w:t>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pPr>
        <w:pStyle w:val="Prrafodelista"/>
        <w:numPr>
          <w:ilvl w:val="0"/>
          <w:numId w:val="172"/>
        </w:numPr>
        <w:spacing w:before="120" w:after="200"/>
        <w:ind w:left="993" w:hanging="426"/>
        <w:contextualSpacing w:val="0"/>
        <w:jc w:val="both"/>
        <w:rPr>
          <w:sz w:val="22"/>
          <w:szCs w:val="22"/>
          <w:lang w:val="es-ES"/>
        </w:rPr>
      </w:pPr>
      <w:r>
        <w:rPr>
          <w:sz w:val="22"/>
          <w:szCs w:val="22"/>
          <w:lang w:val="es-ES"/>
        </w:rPr>
        <w:t>El Proveedor declara y garantiza:</w:t>
      </w:r>
    </w:p>
    <w:p>
      <w:pPr>
        <w:pStyle w:val="Prrafodelista"/>
        <w:numPr>
          <w:ilvl w:val="0"/>
          <w:numId w:val="170"/>
        </w:numPr>
        <w:spacing w:before="120"/>
        <w:ind w:left="1431" w:hanging="357"/>
        <w:contextualSpacing w:val="0"/>
        <w:jc w:val="both"/>
        <w:rPr>
          <w:sz w:val="22"/>
          <w:szCs w:val="22"/>
          <w:lang w:val="es-ES"/>
        </w:rPr>
      </w:pPr>
      <w:r>
        <w:rPr>
          <w:sz w:val="22"/>
          <w:szCs w:val="22"/>
          <w:lang w:val="es-ES"/>
        </w:rPr>
        <w:t>que ha leído y entendido las definiciones de Prácticas Prohibidas del Banco y las sanciones aplicables de conformidad con los Procedimientos de Sanciones;</w:t>
      </w:r>
    </w:p>
    <w:p>
      <w:pPr>
        <w:pStyle w:val="Prrafodelista"/>
        <w:numPr>
          <w:ilvl w:val="0"/>
          <w:numId w:val="170"/>
        </w:numPr>
        <w:spacing w:before="120"/>
        <w:ind w:left="1425" w:hanging="357"/>
        <w:contextualSpacing w:val="0"/>
        <w:jc w:val="both"/>
        <w:rPr>
          <w:sz w:val="22"/>
          <w:szCs w:val="22"/>
          <w:lang w:val="es-ES"/>
        </w:rPr>
      </w:pPr>
      <w:r>
        <w:rPr>
          <w:sz w:val="22"/>
          <w:szCs w:val="22"/>
          <w:lang w:val="es-ES"/>
        </w:rPr>
        <w:t>que no ha incurrido o no incurrirán en ninguna Práctica Prohibida descrita en este documento durante los procesos de selección, negociación, adjudicación o ejecución de este contrato;</w:t>
      </w:r>
    </w:p>
    <w:p>
      <w:pPr>
        <w:pStyle w:val="Prrafodelista"/>
        <w:numPr>
          <w:ilvl w:val="0"/>
          <w:numId w:val="170"/>
        </w:numPr>
        <w:spacing w:before="120"/>
        <w:ind w:left="1425" w:hanging="357"/>
        <w:contextualSpacing w:val="0"/>
        <w:jc w:val="both"/>
        <w:rPr>
          <w:sz w:val="22"/>
          <w:szCs w:val="22"/>
          <w:lang w:val="es-ES"/>
        </w:rPr>
      </w:pPr>
      <w:r>
        <w:rPr>
          <w:sz w:val="22"/>
          <w:szCs w:val="22"/>
          <w:lang w:val="es-ES"/>
        </w:rPr>
        <w:t>que no ha tergiversado ni ocultado ningún hecho sustancial durante los procesos de selección, negociación, adjudicación o ejecución de este contrato;</w:t>
      </w:r>
    </w:p>
    <w:p>
      <w:pPr>
        <w:pStyle w:val="Prrafodelista"/>
        <w:numPr>
          <w:ilvl w:val="0"/>
          <w:numId w:val="170"/>
        </w:numPr>
        <w:spacing w:before="120"/>
        <w:ind w:left="1425" w:hanging="357"/>
        <w:contextualSpacing w:val="0"/>
        <w:jc w:val="both"/>
        <w:rPr>
          <w:sz w:val="22"/>
          <w:szCs w:val="22"/>
          <w:lang w:val="es-ES"/>
        </w:rPr>
      </w:pPr>
      <w:r>
        <w:rPr>
          <w:sz w:val="22"/>
          <w:szCs w:val="22"/>
          <w:lang w:val="es-ES"/>
        </w:rPr>
        <w:t xml:space="preserve">que ni ellos ni sus agentes, subcontratistas, subconsultores, directores, personal clave o accionistas principales son inelegibles para la adjudicación de contratos financiados por el Banco; </w:t>
      </w:r>
    </w:p>
    <w:p>
      <w:pPr>
        <w:pStyle w:val="Prrafodelista"/>
        <w:numPr>
          <w:ilvl w:val="0"/>
          <w:numId w:val="170"/>
        </w:numPr>
        <w:spacing w:before="120"/>
        <w:ind w:left="1425" w:hanging="357"/>
        <w:contextualSpacing w:val="0"/>
        <w:jc w:val="both"/>
        <w:rPr>
          <w:sz w:val="22"/>
          <w:szCs w:val="22"/>
          <w:lang w:val="es-ES"/>
        </w:rPr>
      </w:pPr>
      <w:r>
        <w:rPr>
          <w:sz w:val="22"/>
          <w:szCs w:val="22"/>
          <w:lang w:val="es-ES"/>
        </w:rPr>
        <w:t>que ha declarado todas las comisiones, honorarios de representantes o agentes, pagos por servicios de facilitación o acuerdos para compartir ingresos relacionados con actividades financiadas por el Banco; y</w:t>
      </w:r>
    </w:p>
    <w:p>
      <w:pPr>
        <w:pStyle w:val="Prrafodelista"/>
        <w:numPr>
          <w:ilvl w:val="0"/>
          <w:numId w:val="170"/>
        </w:numPr>
        <w:spacing w:before="120"/>
        <w:ind w:left="1425" w:hanging="357"/>
        <w:contextualSpacing w:val="0"/>
        <w:jc w:val="both"/>
        <w:rPr>
          <w:sz w:val="22"/>
          <w:szCs w:val="22"/>
          <w:lang w:val="es-ES"/>
        </w:rPr>
      </w:pPr>
      <w:r>
        <w:rPr>
          <w:sz w:val="22"/>
          <w:szCs w:val="22"/>
          <w:lang w:val="es-ES"/>
        </w:rPr>
        <w:t>que reconocen que el incumplimiento de cualquiera de estas garantías podrá dar lugar a la imposición por el Banco de una o más de las medidas descritas en la Subcláusula 3.1 (b).</w:t>
      </w:r>
    </w:p>
    <w:p>
      <w:pPr>
        <w:pStyle w:val="CGCONTRATO"/>
        <w:rPr>
          <w:rFonts w:ascii="Times New Roman" w:hAnsi="Times New Roman"/>
        </w:rPr>
      </w:pPr>
      <w:r>
        <w:rPr>
          <w:rFonts w:ascii="Times New Roman" w:hAnsi="Times New Roman"/>
        </w:rPr>
        <w:t>Interpretación</w:t>
      </w:r>
      <w:bookmarkEnd w:id="758"/>
      <w:r>
        <w:rPr>
          <w:rFonts w:ascii="Times New Roman" w:hAnsi="Times New Roman"/>
        </w:rPr>
        <w:t xml:space="preserve"> </w:t>
      </w:r>
    </w:p>
    <w:p>
      <w:pPr>
        <w:numPr>
          <w:ilvl w:val="0"/>
          <w:numId w:val="109"/>
        </w:numPr>
        <w:spacing w:before="60" w:after="60"/>
        <w:ind w:left="1260" w:hanging="720"/>
        <w:jc w:val="both"/>
        <w:rPr>
          <w:sz w:val="22"/>
          <w:szCs w:val="22"/>
          <w:lang w:val="es-ES"/>
        </w:rPr>
      </w:pPr>
      <w:r>
        <w:rPr>
          <w:sz w:val="22"/>
          <w:szCs w:val="22"/>
          <w:lang w:val="es-ES"/>
        </w:rPr>
        <w:t>Si el contexto así lo requiere, el singular significa el plural, y viceversa.</w:t>
      </w:r>
    </w:p>
    <w:p>
      <w:pPr>
        <w:numPr>
          <w:ilvl w:val="0"/>
          <w:numId w:val="109"/>
        </w:numPr>
        <w:spacing w:before="60" w:after="60"/>
        <w:ind w:left="1260" w:hanging="720"/>
        <w:jc w:val="both"/>
        <w:rPr>
          <w:sz w:val="22"/>
          <w:szCs w:val="22"/>
          <w:lang w:val="es-ES"/>
        </w:rPr>
      </w:pPr>
      <w:r>
        <w:rPr>
          <w:sz w:val="22"/>
          <w:szCs w:val="22"/>
          <w:lang w:val="es-ES"/>
        </w:rPr>
        <w:t>Incoterms</w:t>
      </w:r>
    </w:p>
    <w:p>
      <w:pPr>
        <w:numPr>
          <w:ilvl w:val="0"/>
          <w:numId w:val="110"/>
        </w:numPr>
        <w:spacing w:before="60" w:after="60"/>
        <w:ind w:left="1620"/>
        <w:jc w:val="both"/>
        <w:rPr>
          <w:sz w:val="22"/>
          <w:szCs w:val="22"/>
          <w:lang w:val="es-ES"/>
        </w:rPr>
      </w:pPr>
      <w:r>
        <w:rPr>
          <w:sz w:val="22"/>
          <w:szCs w:val="22"/>
          <w:lang w:val="es-ES"/>
        </w:rPr>
        <w:t xml:space="preserve">El significado de cualquier término comercial, así como los derechos y obligaciones de las partes serán los prescritos en los </w:t>
      </w:r>
      <w:r>
        <w:rPr>
          <w:i/>
          <w:sz w:val="22"/>
          <w:szCs w:val="22"/>
          <w:lang w:val="es-ES"/>
        </w:rPr>
        <w:t>Incoterms</w:t>
      </w:r>
      <w:r>
        <w:rPr>
          <w:sz w:val="22"/>
          <w:szCs w:val="22"/>
          <w:lang w:val="es-ES"/>
        </w:rPr>
        <w:t>, a menos que sea inconsistente con alguna disposición del Contrato.</w:t>
      </w:r>
    </w:p>
    <w:p>
      <w:pPr>
        <w:numPr>
          <w:ilvl w:val="0"/>
          <w:numId w:val="110"/>
        </w:numPr>
        <w:spacing w:before="60" w:after="60"/>
        <w:ind w:left="1620"/>
        <w:jc w:val="both"/>
        <w:rPr>
          <w:sz w:val="22"/>
          <w:szCs w:val="22"/>
          <w:lang w:val="es-ES"/>
        </w:rPr>
      </w:pPr>
      <w:r>
        <w:rPr>
          <w:sz w:val="22"/>
          <w:szCs w:val="22"/>
          <w:lang w:val="es-ES"/>
        </w:rPr>
        <w:t xml:space="preserve">Los términos EXW, DDP, y otros similares, cuando se utilicen, se regirán por las normas establecidas en la edición vigente de los </w:t>
      </w:r>
      <w:r>
        <w:rPr>
          <w:i/>
          <w:sz w:val="22"/>
          <w:szCs w:val="22"/>
          <w:lang w:val="es-ES"/>
        </w:rPr>
        <w:t xml:space="preserve">Incoterms </w:t>
      </w:r>
      <w:r>
        <w:rPr>
          <w:sz w:val="22"/>
          <w:szCs w:val="22"/>
          <w:lang w:val="es-ES"/>
        </w:rPr>
        <w:t>especificada en las</w:t>
      </w:r>
      <w:r>
        <w:rPr>
          <w:b/>
          <w:sz w:val="22"/>
          <w:szCs w:val="22"/>
          <w:lang w:val="es-ES"/>
        </w:rPr>
        <w:t xml:space="preserve"> CEC</w:t>
      </w:r>
      <w:r>
        <w:rPr>
          <w:sz w:val="22"/>
          <w:szCs w:val="22"/>
          <w:lang w:val="es-ES"/>
        </w:rPr>
        <w:t>, y publicada por la Cámara de Comercio Internacional en París, Francia.</w:t>
      </w:r>
    </w:p>
    <w:p>
      <w:pPr>
        <w:spacing w:before="60" w:after="60"/>
        <w:ind w:left="1260"/>
        <w:jc w:val="both"/>
        <w:rPr>
          <w:sz w:val="22"/>
          <w:szCs w:val="22"/>
          <w:lang w:val="es-ES"/>
        </w:rPr>
      </w:pPr>
    </w:p>
    <w:p>
      <w:pPr>
        <w:numPr>
          <w:ilvl w:val="0"/>
          <w:numId w:val="109"/>
        </w:numPr>
        <w:spacing w:before="60" w:after="60"/>
        <w:ind w:left="1260" w:hanging="720"/>
        <w:jc w:val="both"/>
        <w:rPr>
          <w:sz w:val="22"/>
          <w:szCs w:val="22"/>
          <w:lang w:val="es-ES"/>
        </w:rPr>
      </w:pPr>
      <w:r>
        <w:rPr>
          <w:sz w:val="22"/>
          <w:szCs w:val="22"/>
          <w:lang w:val="es-ES"/>
        </w:rPr>
        <w:t>Totalidad del Contrato</w:t>
      </w:r>
    </w:p>
    <w:p>
      <w:pPr>
        <w:spacing w:before="60" w:after="60"/>
        <w:ind w:left="1260"/>
        <w:jc w:val="both"/>
        <w:rPr>
          <w:sz w:val="22"/>
          <w:szCs w:val="22"/>
          <w:lang w:val="es-ES"/>
        </w:rPr>
      </w:pPr>
    </w:p>
    <w:p>
      <w:pPr>
        <w:spacing w:before="60" w:after="60"/>
        <w:ind w:left="1260"/>
        <w:jc w:val="both"/>
        <w:rPr>
          <w:sz w:val="22"/>
          <w:szCs w:val="22"/>
          <w:lang w:val="es-ES"/>
        </w:rPr>
      </w:pPr>
      <w:r>
        <w:rPr>
          <w:sz w:val="22"/>
          <w:szCs w:val="22"/>
          <w:lang w:val="es-ES"/>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pPr>
        <w:spacing w:before="60" w:after="60"/>
        <w:ind w:left="1260"/>
        <w:jc w:val="both"/>
        <w:rPr>
          <w:sz w:val="22"/>
          <w:szCs w:val="22"/>
          <w:lang w:val="es-ES"/>
        </w:rPr>
      </w:pPr>
    </w:p>
    <w:p>
      <w:pPr>
        <w:numPr>
          <w:ilvl w:val="0"/>
          <w:numId w:val="109"/>
        </w:numPr>
        <w:spacing w:before="60" w:after="60"/>
        <w:ind w:left="1260" w:hanging="720"/>
        <w:jc w:val="both"/>
        <w:rPr>
          <w:sz w:val="22"/>
          <w:szCs w:val="22"/>
          <w:lang w:val="es-ES"/>
        </w:rPr>
      </w:pPr>
      <w:r>
        <w:rPr>
          <w:sz w:val="22"/>
          <w:szCs w:val="22"/>
          <w:lang w:val="es-ES"/>
        </w:rPr>
        <w:t>Enmienda</w:t>
      </w:r>
    </w:p>
    <w:p>
      <w:pPr>
        <w:spacing w:before="60" w:after="60"/>
        <w:ind w:left="1260"/>
        <w:jc w:val="both"/>
        <w:rPr>
          <w:sz w:val="22"/>
          <w:szCs w:val="22"/>
          <w:lang w:val="es-ES"/>
        </w:rPr>
      </w:pPr>
    </w:p>
    <w:p>
      <w:pPr>
        <w:spacing w:before="60" w:after="60"/>
        <w:ind w:left="1260"/>
        <w:jc w:val="both"/>
        <w:rPr>
          <w:sz w:val="22"/>
          <w:szCs w:val="22"/>
          <w:lang w:val="es-ES"/>
        </w:rPr>
      </w:pPr>
      <w:r>
        <w:rPr>
          <w:sz w:val="22"/>
          <w:szCs w:val="22"/>
          <w:lang w:val="es-ES"/>
        </w:rPr>
        <w:t>Ninguna enmienda u otra variación al Contrato será válida a menos que esté por escrito, fechada y se refiera expresamente al Contrato, y esté firmada por un representante de cada una de las partes debidamente autorizado.</w:t>
      </w:r>
    </w:p>
    <w:p>
      <w:pPr>
        <w:numPr>
          <w:ilvl w:val="0"/>
          <w:numId w:val="109"/>
        </w:numPr>
        <w:spacing w:before="60" w:after="60"/>
        <w:ind w:left="1260" w:hanging="720"/>
        <w:jc w:val="both"/>
        <w:rPr>
          <w:sz w:val="22"/>
          <w:szCs w:val="22"/>
          <w:lang w:val="es-ES"/>
        </w:rPr>
      </w:pPr>
      <w:r>
        <w:rPr>
          <w:sz w:val="22"/>
          <w:szCs w:val="22"/>
          <w:lang w:val="es-ES"/>
        </w:rPr>
        <w:lastRenderedPageBreak/>
        <w:t>Limitación de Dispensas</w:t>
      </w:r>
    </w:p>
    <w:p>
      <w:pPr>
        <w:spacing w:before="60" w:after="60"/>
        <w:ind w:left="540"/>
        <w:jc w:val="both"/>
        <w:rPr>
          <w:sz w:val="22"/>
          <w:szCs w:val="22"/>
          <w:lang w:val="es-ES"/>
        </w:rPr>
      </w:pPr>
    </w:p>
    <w:p>
      <w:pPr>
        <w:numPr>
          <w:ilvl w:val="0"/>
          <w:numId w:val="111"/>
        </w:numPr>
        <w:spacing w:before="60" w:after="60"/>
        <w:ind w:left="1620"/>
        <w:jc w:val="both"/>
        <w:rPr>
          <w:sz w:val="22"/>
          <w:szCs w:val="22"/>
          <w:lang w:val="es-ES"/>
        </w:rPr>
      </w:pPr>
      <w:r>
        <w:rPr>
          <w:sz w:val="22"/>
          <w:szCs w:val="22"/>
          <w:lang w:val="es-ES"/>
        </w:rPr>
        <w:t xml:space="preserve">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pPr>
        <w:numPr>
          <w:ilvl w:val="0"/>
          <w:numId w:val="111"/>
        </w:numPr>
        <w:spacing w:before="60" w:after="60"/>
        <w:ind w:left="1620"/>
        <w:jc w:val="both"/>
        <w:rPr>
          <w:sz w:val="22"/>
          <w:szCs w:val="22"/>
          <w:lang w:val="es-ES"/>
        </w:rPr>
      </w:pPr>
      <w:r>
        <w:rPr>
          <w:sz w:val="22"/>
          <w:szCs w:val="22"/>
          <w:lang w:val="es-ES"/>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pPr>
        <w:spacing w:before="60" w:after="60"/>
        <w:ind w:left="1260"/>
        <w:jc w:val="both"/>
        <w:rPr>
          <w:sz w:val="22"/>
          <w:szCs w:val="22"/>
          <w:lang w:val="es-ES"/>
        </w:rPr>
      </w:pPr>
    </w:p>
    <w:p>
      <w:pPr>
        <w:numPr>
          <w:ilvl w:val="0"/>
          <w:numId w:val="109"/>
        </w:numPr>
        <w:spacing w:before="60" w:after="60"/>
        <w:ind w:left="1260" w:hanging="720"/>
        <w:jc w:val="both"/>
        <w:rPr>
          <w:sz w:val="22"/>
          <w:szCs w:val="22"/>
          <w:lang w:val="es-ES"/>
        </w:rPr>
      </w:pPr>
      <w:r>
        <w:rPr>
          <w:sz w:val="22"/>
          <w:szCs w:val="22"/>
          <w:lang w:val="es-ES"/>
        </w:rPr>
        <w:t>Divisibilidad</w:t>
      </w:r>
    </w:p>
    <w:p>
      <w:pPr>
        <w:spacing w:before="60" w:after="60"/>
        <w:ind w:left="540"/>
        <w:jc w:val="both"/>
        <w:rPr>
          <w:sz w:val="22"/>
          <w:szCs w:val="22"/>
          <w:lang w:val="es-ES"/>
        </w:rPr>
      </w:pPr>
    </w:p>
    <w:p>
      <w:pPr>
        <w:spacing w:before="60" w:after="60"/>
        <w:ind w:left="1260"/>
        <w:jc w:val="both"/>
        <w:rPr>
          <w:sz w:val="22"/>
          <w:szCs w:val="22"/>
          <w:lang w:val="es-ES"/>
        </w:rPr>
      </w:pPr>
      <w:r>
        <w:rPr>
          <w:sz w:val="22"/>
          <w:szCs w:val="22"/>
          <w:lang w:val="es-ES"/>
        </w:rPr>
        <w:t>Si cualquier provisión o condición del Contrato es prohibida o resultase inválida o inejecutable, dicha prohibición, invalidez o falta de ejecución no afectará la validez o el cumplimiento de las otras provisiones o condiciones del Contrato.</w:t>
      </w:r>
    </w:p>
    <w:p>
      <w:pPr>
        <w:pStyle w:val="CGCONTRATO"/>
        <w:rPr>
          <w:rFonts w:ascii="Times New Roman" w:hAnsi="Times New Roman"/>
        </w:rPr>
      </w:pPr>
      <w:bookmarkStart w:id="759" w:name="_Toc403379145"/>
      <w:r>
        <w:rPr>
          <w:rFonts w:ascii="Times New Roman" w:hAnsi="Times New Roman"/>
        </w:rPr>
        <w:t>Idioma</w:t>
      </w:r>
      <w:bookmarkEnd w:id="759"/>
    </w:p>
    <w:p>
      <w:pPr>
        <w:numPr>
          <w:ilvl w:val="0"/>
          <w:numId w:val="112"/>
        </w:numPr>
        <w:spacing w:before="60" w:after="60"/>
        <w:ind w:left="1260" w:hanging="720"/>
        <w:jc w:val="both"/>
        <w:rPr>
          <w:sz w:val="22"/>
          <w:szCs w:val="22"/>
          <w:lang w:val="es-ES"/>
        </w:rPr>
      </w:pPr>
      <w:r>
        <w:rPr>
          <w:sz w:val="22"/>
          <w:szCs w:val="22"/>
          <w:lang w:val="es-ES"/>
        </w:rPr>
        <w:t xml:space="preserve">El Contrato, así como toda la correspondencia y documentos relativos al Contrato intercambiados entre el Proveedor y el Comprador, deberán ser escritos en el idioma especificado en las </w:t>
      </w:r>
      <w:r>
        <w:rPr>
          <w:b/>
          <w:sz w:val="22"/>
          <w:szCs w:val="22"/>
          <w:lang w:val="es-ES"/>
        </w:rPr>
        <w:t>CEC</w:t>
      </w:r>
      <w:r>
        <w:rPr>
          <w:sz w:val="22"/>
          <w:szCs w:val="22"/>
          <w:lang w:val="es-ES"/>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pPr>
        <w:numPr>
          <w:ilvl w:val="0"/>
          <w:numId w:val="112"/>
        </w:numPr>
        <w:spacing w:before="60" w:after="60"/>
        <w:ind w:left="1260" w:hanging="720"/>
        <w:jc w:val="both"/>
        <w:rPr>
          <w:sz w:val="22"/>
          <w:szCs w:val="22"/>
          <w:lang w:val="es-ES"/>
        </w:rPr>
      </w:pPr>
      <w:r>
        <w:rPr>
          <w:sz w:val="22"/>
          <w:szCs w:val="22"/>
          <w:lang w:val="es-ES"/>
        </w:rPr>
        <w:t>El Proveedor será responsable de todos los costos de la traducción al idioma que rige, así como de todos los riesgos derivados de la exactitud de dicha traducción de los documentos proporcionados por el Proveedor.</w:t>
      </w:r>
    </w:p>
    <w:p>
      <w:pPr>
        <w:pStyle w:val="CGCONTRATO"/>
        <w:rPr>
          <w:rFonts w:ascii="Times New Roman" w:hAnsi="Times New Roman"/>
        </w:rPr>
      </w:pPr>
      <w:bookmarkStart w:id="760" w:name="_Toc403379146"/>
      <w:r>
        <w:rPr>
          <w:rFonts w:ascii="Times New Roman" w:hAnsi="Times New Roman"/>
        </w:rPr>
        <w:t>Asociación en Participación o Consorcio</w:t>
      </w:r>
      <w:bookmarkEnd w:id="760"/>
      <w:r>
        <w:rPr>
          <w:rFonts w:ascii="Times New Roman" w:hAnsi="Times New Roman"/>
        </w:rPr>
        <w:t xml:space="preserve"> </w:t>
      </w:r>
    </w:p>
    <w:p>
      <w:pPr>
        <w:numPr>
          <w:ilvl w:val="0"/>
          <w:numId w:val="113"/>
        </w:numPr>
        <w:spacing w:before="60" w:after="60"/>
        <w:ind w:left="1260" w:hanging="720"/>
        <w:jc w:val="both"/>
        <w:rPr>
          <w:b/>
          <w:sz w:val="22"/>
          <w:szCs w:val="22"/>
          <w:lang w:val="es-ES"/>
        </w:rPr>
      </w:pPr>
      <w:r>
        <w:rPr>
          <w:sz w:val="22"/>
          <w:szCs w:val="22"/>
          <w:lang w:val="es-ES"/>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pPr>
        <w:pStyle w:val="CGCONTRATO"/>
        <w:rPr>
          <w:rFonts w:ascii="Times New Roman" w:hAnsi="Times New Roman"/>
        </w:rPr>
      </w:pPr>
      <w:bookmarkStart w:id="761" w:name="_Toc403379147"/>
      <w:r>
        <w:rPr>
          <w:rFonts w:ascii="Times New Roman" w:hAnsi="Times New Roman"/>
        </w:rPr>
        <w:t>Elegibilidad</w:t>
      </w:r>
      <w:bookmarkEnd w:id="761"/>
    </w:p>
    <w:p>
      <w:pPr>
        <w:numPr>
          <w:ilvl w:val="0"/>
          <w:numId w:val="114"/>
        </w:numPr>
        <w:spacing w:before="60" w:after="60"/>
        <w:ind w:left="1260" w:hanging="720"/>
        <w:jc w:val="both"/>
        <w:rPr>
          <w:sz w:val="22"/>
          <w:szCs w:val="22"/>
          <w:lang w:val="es-ES"/>
        </w:rPr>
      </w:pPr>
      <w:r>
        <w:rPr>
          <w:sz w:val="22"/>
          <w:szCs w:val="22"/>
          <w:lang w:val="es-ES"/>
        </w:rPr>
        <w:t>El Proveedor y sus Subcontratistas deberán ser originarios de países miembros del Banco. Se considera que un Proveedor o Subcontratista tiene la nacionalidad de un país elegible si cumple con los siguientes requisitos:</w:t>
      </w:r>
    </w:p>
    <w:p>
      <w:pPr>
        <w:numPr>
          <w:ilvl w:val="0"/>
          <w:numId w:val="115"/>
        </w:numPr>
        <w:spacing w:before="60" w:after="60"/>
        <w:ind w:left="1620"/>
        <w:jc w:val="both"/>
        <w:rPr>
          <w:sz w:val="22"/>
          <w:szCs w:val="22"/>
          <w:lang w:val="es-ES"/>
        </w:rPr>
      </w:pPr>
      <w:r>
        <w:rPr>
          <w:sz w:val="22"/>
          <w:szCs w:val="22"/>
          <w:lang w:val="es-ES"/>
        </w:rPr>
        <w:t xml:space="preserve">Un individuo </w:t>
      </w:r>
      <w:r>
        <w:rPr>
          <w:bCs/>
          <w:sz w:val="22"/>
          <w:szCs w:val="22"/>
          <w:lang w:val="es-ES"/>
        </w:rPr>
        <w:t>tiene la nacionalidad</w:t>
      </w:r>
      <w:r>
        <w:rPr>
          <w:sz w:val="22"/>
          <w:szCs w:val="22"/>
          <w:lang w:val="es-ES"/>
        </w:rPr>
        <w:t xml:space="preserve"> de un país miembro del Banco si satisface uno de los siguientes requisitos:</w:t>
      </w:r>
    </w:p>
    <w:p>
      <w:pPr>
        <w:pStyle w:val="Sub-ClauseText"/>
        <w:widowControl w:val="0"/>
        <w:numPr>
          <w:ilvl w:val="1"/>
          <w:numId w:val="116"/>
        </w:numPr>
        <w:tabs>
          <w:tab w:val="clear" w:pos="1440"/>
        </w:tabs>
        <w:overflowPunct/>
        <w:autoSpaceDE/>
        <w:autoSpaceDN/>
        <w:adjustRightInd/>
        <w:spacing w:before="0" w:after="60"/>
        <w:ind w:left="1800"/>
        <w:textAlignment w:val="auto"/>
        <w:rPr>
          <w:spacing w:val="0"/>
          <w:sz w:val="22"/>
          <w:szCs w:val="22"/>
          <w:lang w:val="es-ES"/>
        </w:rPr>
      </w:pPr>
      <w:r>
        <w:rPr>
          <w:sz w:val="22"/>
          <w:szCs w:val="22"/>
          <w:lang w:val="es-ES"/>
        </w:rPr>
        <w:t>es ciudadano de un país miembro; o</w:t>
      </w:r>
    </w:p>
    <w:p>
      <w:pPr>
        <w:pStyle w:val="Sub-ClauseText"/>
        <w:widowControl w:val="0"/>
        <w:numPr>
          <w:ilvl w:val="1"/>
          <w:numId w:val="116"/>
        </w:numPr>
        <w:tabs>
          <w:tab w:val="clear" w:pos="1440"/>
        </w:tabs>
        <w:overflowPunct/>
        <w:autoSpaceDE/>
        <w:autoSpaceDN/>
        <w:adjustRightInd/>
        <w:spacing w:before="0" w:after="60"/>
        <w:ind w:left="1800"/>
        <w:textAlignment w:val="auto"/>
        <w:rPr>
          <w:spacing w:val="0"/>
          <w:sz w:val="22"/>
          <w:szCs w:val="22"/>
          <w:lang w:val="es-ES"/>
        </w:rPr>
      </w:pPr>
      <w:r>
        <w:rPr>
          <w:sz w:val="22"/>
          <w:szCs w:val="22"/>
          <w:lang w:val="es-ES"/>
        </w:rPr>
        <w:t>ha establecido su domicilio en un país miembro como residente “bona fide” y está legalmente autorizado para trabajar en dicho país.</w:t>
      </w:r>
    </w:p>
    <w:p>
      <w:pPr>
        <w:numPr>
          <w:ilvl w:val="0"/>
          <w:numId w:val="115"/>
        </w:numPr>
        <w:spacing w:after="60"/>
        <w:ind w:left="1620"/>
        <w:jc w:val="both"/>
        <w:rPr>
          <w:sz w:val="22"/>
          <w:szCs w:val="22"/>
          <w:lang w:val="es-ES"/>
        </w:rPr>
      </w:pPr>
      <w:r>
        <w:rPr>
          <w:sz w:val="22"/>
          <w:szCs w:val="22"/>
          <w:lang w:val="es-ES"/>
        </w:rPr>
        <w:lastRenderedPageBreak/>
        <w:t>Una firma tiene la nacionalidad de un país miembro si satisface los dos siguientes requisitos:</w:t>
      </w:r>
    </w:p>
    <w:p>
      <w:pPr>
        <w:pStyle w:val="Sub-ClauseText"/>
        <w:widowControl w:val="0"/>
        <w:numPr>
          <w:ilvl w:val="0"/>
          <w:numId w:val="117"/>
        </w:numPr>
        <w:tabs>
          <w:tab w:val="clear" w:pos="1440"/>
        </w:tabs>
        <w:overflowPunct/>
        <w:autoSpaceDE/>
        <w:autoSpaceDN/>
        <w:adjustRightInd/>
        <w:spacing w:before="0" w:after="60"/>
        <w:ind w:left="1800"/>
        <w:textAlignment w:val="auto"/>
        <w:rPr>
          <w:sz w:val="22"/>
          <w:szCs w:val="22"/>
          <w:lang w:val="es-ES"/>
        </w:rPr>
      </w:pPr>
      <w:r>
        <w:rPr>
          <w:sz w:val="22"/>
          <w:szCs w:val="22"/>
          <w:lang w:val="es-ES"/>
        </w:rPr>
        <w:t>esta legalmente constituida o incorporada conforme a las leyes de un país miembro del Banco; y</w:t>
      </w:r>
    </w:p>
    <w:p>
      <w:pPr>
        <w:pStyle w:val="Sub-ClauseText"/>
        <w:widowControl w:val="0"/>
        <w:numPr>
          <w:ilvl w:val="0"/>
          <w:numId w:val="117"/>
        </w:numPr>
        <w:tabs>
          <w:tab w:val="clear" w:pos="1440"/>
        </w:tabs>
        <w:overflowPunct/>
        <w:autoSpaceDE/>
        <w:autoSpaceDN/>
        <w:adjustRightInd/>
        <w:spacing w:before="0" w:after="60"/>
        <w:ind w:left="1800"/>
        <w:textAlignment w:val="auto"/>
        <w:rPr>
          <w:sz w:val="22"/>
          <w:szCs w:val="22"/>
          <w:lang w:val="es-ES"/>
        </w:rPr>
      </w:pPr>
      <w:r>
        <w:rPr>
          <w:sz w:val="22"/>
          <w:szCs w:val="22"/>
          <w:lang w:val="es-ES"/>
        </w:rPr>
        <w:t>más del cincuenta por ciento (50%) del capital de la firma es de propiedad de individuos o firmas de países miembros del Banco.</w:t>
      </w:r>
    </w:p>
    <w:p>
      <w:pPr>
        <w:numPr>
          <w:ilvl w:val="0"/>
          <w:numId w:val="114"/>
        </w:numPr>
        <w:spacing w:before="60" w:after="60"/>
        <w:ind w:left="1260" w:hanging="720"/>
        <w:jc w:val="both"/>
        <w:rPr>
          <w:sz w:val="22"/>
          <w:szCs w:val="22"/>
          <w:lang w:val="es-ES"/>
        </w:rPr>
      </w:pPr>
      <w:r>
        <w:rPr>
          <w:sz w:val="22"/>
          <w:szCs w:val="22"/>
          <w:lang w:val="es-ES"/>
        </w:rPr>
        <w:t>Todos los socios de una asociación en participación, consorcio o asociación (APCA) con responsabilidad mancomunada y solidaria y todos los subcontratistas deben cumplir con los requisitos arriba establecidos.</w:t>
      </w:r>
    </w:p>
    <w:p>
      <w:pPr>
        <w:numPr>
          <w:ilvl w:val="0"/>
          <w:numId w:val="114"/>
        </w:numPr>
        <w:spacing w:before="60" w:after="60"/>
        <w:ind w:left="1260" w:hanging="720"/>
        <w:jc w:val="both"/>
        <w:rPr>
          <w:sz w:val="22"/>
          <w:szCs w:val="22"/>
          <w:lang w:val="es-ES"/>
        </w:rPr>
      </w:pPr>
      <w:r>
        <w:rPr>
          <w:sz w:val="22"/>
          <w:szCs w:val="22"/>
          <w:lang w:val="es-ES"/>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pPr>
        <w:pStyle w:val="CGCONTRATO"/>
        <w:rPr>
          <w:rFonts w:ascii="Times New Roman" w:hAnsi="Times New Roman"/>
        </w:rPr>
      </w:pPr>
      <w:bookmarkStart w:id="762" w:name="_Toc403379148"/>
      <w:r>
        <w:rPr>
          <w:rFonts w:ascii="Times New Roman" w:hAnsi="Times New Roman"/>
        </w:rPr>
        <w:t>Notificaciones</w:t>
      </w:r>
      <w:bookmarkEnd w:id="762"/>
    </w:p>
    <w:p>
      <w:pPr>
        <w:numPr>
          <w:ilvl w:val="0"/>
          <w:numId w:val="118"/>
        </w:numPr>
        <w:spacing w:before="60" w:after="60"/>
        <w:ind w:left="1260" w:hanging="720"/>
        <w:jc w:val="both"/>
        <w:rPr>
          <w:sz w:val="22"/>
          <w:szCs w:val="22"/>
          <w:lang w:val="es-ES"/>
        </w:rPr>
      </w:pPr>
      <w:r>
        <w:rPr>
          <w:sz w:val="22"/>
          <w:szCs w:val="22"/>
          <w:lang w:val="es-ES"/>
        </w:rPr>
        <w:t>Todas las notificaciones entre las partes en virtud de este Contrato deberán ser por escrito y dirigidas a la dirección indicada en las</w:t>
      </w:r>
      <w:r>
        <w:rPr>
          <w:b/>
          <w:sz w:val="22"/>
          <w:szCs w:val="22"/>
          <w:lang w:val="es-ES"/>
        </w:rPr>
        <w:t xml:space="preserve"> CEC</w:t>
      </w:r>
      <w:r>
        <w:rPr>
          <w:sz w:val="22"/>
          <w:szCs w:val="22"/>
          <w:lang w:val="es-ES"/>
        </w:rPr>
        <w:t>. El término “por escrito” significa comunicación en forma escrita con prueba de recibo.</w:t>
      </w:r>
    </w:p>
    <w:p>
      <w:pPr>
        <w:numPr>
          <w:ilvl w:val="0"/>
          <w:numId w:val="118"/>
        </w:numPr>
        <w:spacing w:before="60" w:after="60"/>
        <w:ind w:left="1260" w:hanging="720"/>
        <w:jc w:val="both"/>
        <w:rPr>
          <w:sz w:val="22"/>
          <w:szCs w:val="22"/>
          <w:lang w:val="es-ES"/>
        </w:rPr>
      </w:pPr>
      <w:r>
        <w:rPr>
          <w:sz w:val="22"/>
          <w:szCs w:val="22"/>
          <w:lang w:val="es-ES"/>
        </w:rPr>
        <w:t>Una notificación será efectiva en la fecha más tardía entre la fecha de entrega y la fecha de la notificación.</w:t>
      </w:r>
    </w:p>
    <w:p>
      <w:pPr>
        <w:pStyle w:val="CGCONTRATO"/>
        <w:rPr>
          <w:rFonts w:ascii="Times New Roman" w:hAnsi="Times New Roman"/>
        </w:rPr>
      </w:pPr>
      <w:bookmarkStart w:id="763" w:name="_Toc403379149"/>
      <w:r>
        <w:rPr>
          <w:rFonts w:ascii="Times New Roman" w:hAnsi="Times New Roman"/>
        </w:rPr>
        <w:t>Ley Aplicable</w:t>
      </w:r>
      <w:bookmarkEnd w:id="763"/>
    </w:p>
    <w:p>
      <w:pPr>
        <w:numPr>
          <w:ilvl w:val="0"/>
          <w:numId w:val="119"/>
        </w:numPr>
        <w:spacing w:before="60" w:after="60"/>
        <w:ind w:left="1260" w:hanging="720"/>
        <w:jc w:val="both"/>
        <w:rPr>
          <w:b/>
          <w:sz w:val="22"/>
          <w:szCs w:val="22"/>
          <w:lang w:val="es-ES"/>
        </w:rPr>
      </w:pPr>
      <w:r>
        <w:rPr>
          <w:sz w:val="22"/>
          <w:szCs w:val="22"/>
          <w:lang w:val="es-ES"/>
        </w:rPr>
        <w:t>El Contrato se regirá y se interpretará según las leyes del país del Comprador, a menos que se indique otra cosa en las</w:t>
      </w:r>
      <w:r>
        <w:rPr>
          <w:b/>
          <w:sz w:val="22"/>
          <w:szCs w:val="22"/>
          <w:lang w:val="es-ES"/>
        </w:rPr>
        <w:t xml:space="preserve"> CEC</w:t>
      </w:r>
      <w:r>
        <w:rPr>
          <w:sz w:val="22"/>
          <w:szCs w:val="22"/>
          <w:lang w:val="es-ES"/>
        </w:rPr>
        <w:t>.</w:t>
      </w:r>
    </w:p>
    <w:p>
      <w:pPr>
        <w:pStyle w:val="CGCONTRATO"/>
        <w:rPr>
          <w:rFonts w:ascii="Times New Roman" w:hAnsi="Times New Roman"/>
        </w:rPr>
      </w:pPr>
      <w:bookmarkStart w:id="764" w:name="_Toc403379150"/>
      <w:r>
        <w:rPr>
          <w:rFonts w:ascii="Times New Roman" w:hAnsi="Times New Roman"/>
        </w:rPr>
        <w:t>Solución de Controversias</w:t>
      </w:r>
      <w:bookmarkEnd w:id="764"/>
    </w:p>
    <w:p>
      <w:pPr>
        <w:numPr>
          <w:ilvl w:val="0"/>
          <w:numId w:val="120"/>
        </w:numPr>
        <w:spacing w:before="60" w:after="60"/>
        <w:ind w:left="1260" w:hanging="720"/>
        <w:jc w:val="both"/>
        <w:rPr>
          <w:b/>
          <w:sz w:val="22"/>
          <w:szCs w:val="22"/>
          <w:lang w:val="es-ES"/>
        </w:rPr>
      </w:pPr>
      <w:r>
        <w:rPr>
          <w:sz w:val="22"/>
          <w:szCs w:val="22"/>
          <w:lang w:val="es-ES"/>
        </w:rPr>
        <w:t>El Comprador y el Proveedor harán todo lo posible para resolver amigablemente mediante negociaciones directas informales, cualquier desacuerdo o controversia que se haya suscitado entre ellos en virtud o en referencia al Contrato.</w:t>
      </w:r>
    </w:p>
    <w:p>
      <w:pPr>
        <w:numPr>
          <w:ilvl w:val="0"/>
          <w:numId w:val="120"/>
        </w:numPr>
        <w:spacing w:before="60" w:after="60"/>
        <w:ind w:left="1260" w:hanging="720"/>
        <w:jc w:val="both"/>
        <w:rPr>
          <w:sz w:val="22"/>
          <w:szCs w:val="22"/>
          <w:lang w:val="es-ES"/>
        </w:rPr>
      </w:pPr>
      <w:r>
        <w:rPr>
          <w:sz w:val="22"/>
          <w:szCs w:val="22"/>
          <w:lang w:val="es-ES"/>
        </w:rPr>
        <w:t xml:space="preserve">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w:t>
      </w:r>
      <w:r>
        <w:rPr>
          <w:sz w:val="22"/>
          <w:szCs w:val="22"/>
          <w:lang w:val="es-ES"/>
        </w:rPr>
        <w:lastRenderedPageBreak/>
        <w:t>puede comenzar antes o después de la entrega de los bienes en virtud del Contrato. El arbitraje se llevará a cabo según el reglamento de procedimientos estipulado en las</w:t>
      </w:r>
      <w:r>
        <w:rPr>
          <w:b/>
          <w:sz w:val="22"/>
          <w:szCs w:val="22"/>
          <w:lang w:val="es-ES"/>
        </w:rPr>
        <w:t xml:space="preserve"> CEC. </w:t>
      </w:r>
    </w:p>
    <w:p>
      <w:pPr>
        <w:numPr>
          <w:ilvl w:val="0"/>
          <w:numId w:val="120"/>
        </w:numPr>
        <w:spacing w:before="60" w:after="60"/>
        <w:ind w:left="1260" w:hanging="720"/>
        <w:jc w:val="both"/>
        <w:rPr>
          <w:b/>
          <w:sz w:val="22"/>
          <w:szCs w:val="22"/>
          <w:lang w:val="es-ES"/>
        </w:rPr>
      </w:pPr>
      <w:r>
        <w:rPr>
          <w:sz w:val="22"/>
          <w:szCs w:val="22"/>
          <w:lang w:val="es-ES"/>
        </w:rPr>
        <w:t>No obstante, las referencias a arbitraje en este documento,</w:t>
      </w:r>
    </w:p>
    <w:p>
      <w:pPr>
        <w:numPr>
          <w:ilvl w:val="0"/>
          <w:numId w:val="144"/>
        </w:numPr>
        <w:spacing w:before="60" w:after="60"/>
        <w:ind w:left="1620"/>
        <w:jc w:val="both"/>
        <w:rPr>
          <w:sz w:val="22"/>
          <w:szCs w:val="22"/>
          <w:lang w:val="es-ES"/>
        </w:rPr>
      </w:pPr>
      <w:r>
        <w:rPr>
          <w:sz w:val="22"/>
          <w:szCs w:val="22"/>
          <w:lang w:val="es-ES"/>
        </w:rPr>
        <w:t xml:space="preserve">ambas partes deben continuar cumpliendo con sus obligaciones respectivas en virtud del Contrato, a menos que las partes acuerden de otra manera; y </w:t>
      </w:r>
    </w:p>
    <w:p>
      <w:pPr>
        <w:numPr>
          <w:ilvl w:val="0"/>
          <w:numId w:val="144"/>
        </w:numPr>
        <w:spacing w:before="60" w:after="60"/>
        <w:ind w:left="1620"/>
        <w:jc w:val="both"/>
        <w:rPr>
          <w:sz w:val="22"/>
          <w:szCs w:val="22"/>
          <w:lang w:val="es-ES"/>
        </w:rPr>
      </w:pPr>
      <w:r>
        <w:rPr>
          <w:sz w:val="22"/>
          <w:szCs w:val="22"/>
          <w:lang w:val="es-ES"/>
        </w:rPr>
        <w:t>el Comprador pagará el dinero que le adeude al Proveedor.</w:t>
      </w:r>
    </w:p>
    <w:p>
      <w:pPr>
        <w:pStyle w:val="CGCONTRATO"/>
        <w:rPr>
          <w:rFonts w:ascii="Times New Roman" w:hAnsi="Times New Roman"/>
        </w:rPr>
      </w:pPr>
      <w:bookmarkStart w:id="765" w:name="_Toc403379151"/>
      <w:r>
        <w:rPr>
          <w:rFonts w:ascii="Times New Roman" w:hAnsi="Times New Roman"/>
        </w:rPr>
        <w:t>Inspecciones y Auditorias</w:t>
      </w:r>
      <w:bookmarkEnd w:id="765"/>
      <w:r>
        <w:rPr>
          <w:rFonts w:ascii="Times New Roman" w:hAnsi="Times New Roman"/>
        </w:rPr>
        <w:t xml:space="preserve"> </w:t>
      </w:r>
    </w:p>
    <w:p>
      <w:pPr>
        <w:numPr>
          <w:ilvl w:val="0"/>
          <w:numId w:val="121"/>
        </w:numPr>
        <w:spacing w:before="60" w:after="60"/>
        <w:ind w:left="1260" w:hanging="720"/>
        <w:jc w:val="both"/>
        <w:rPr>
          <w:sz w:val="22"/>
          <w:szCs w:val="22"/>
          <w:lang w:val="es-ES"/>
        </w:rPr>
      </w:pPr>
      <w:bookmarkStart w:id="766" w:name="OLE_LINK1"/>
      <w:bookmarkStart w:id="767" w:name="OLE_LINK2"/>
      <w:r>
        <w:rPr>
          <w:sz w:val="22"/>
          <w:szCs w:val="22"/>
          <w:lang w:val="es-ES"/>
        </w:rPr>
        <w:t xml:space="preserve">El Contratista permitirá, y realizará todos los trámites para que sus Subcontratistas o Consultores permitan, que el Banco y/o las personas designadas por el Banco inspeccionen todas las cuentas y registros contables del Contratista y sus subcontratistas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Pr>
          <w:bCs/>
          <w:sz w:val="22"/>
          <w:szCs w:val="22"/>
          <w:lang w:val="es-ES"/>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Pr>
          <w:bCs/>
          <w:color w:val="000000"/>
          <w:sz w:val="22"/>
          <w:szCs w:val="22"/>
          <w:lang w:val="es-ES"/>
        </w:rPr>
        <w:t>.</w:t>
      </w:r>
      <w:bookmarkEnd w:id="766"/>
      <w:bookmarkEnd w:id="767"/>
    </w:p>
    <w:p>
      <w:pPr>
        <w:pStyle w:val="CGCONTRATO"/>
        <w:rPr>
          <w:rFonts w:ascii="Times New Roman" w:hAnsi="Times New Roman"/>
        </w:rPr>
      </w:pPr>
      <w:bookmarkStart w:id="768" w:name="_Toc403379152"/>
      <w:r>
        <w:rPr>
          <w:rFonts w:ascii="Times New Roman" w:hAnsi="Times New Roman"/>
        </w:rPr>
        <w:t>Alcance de los Suministros</w:t>
      </w:r>
      <w:bookmarkEnd w:id="768"/>
    </w:p>
    <w:p>
      <w:pPr>
        <w:numPr>
          <w:ilvl w:val="0"/>
          <w:numId w:val="122"/>
        </w:numPr>
        <w:spacing w:before="60" w:after="60"/>
        <w:ind w:left="1260" w:hanging="720"/>
        <w:jc w:val="both"/>
        <w:rPr>
          <w:b/>
          <w:sz w:val="22"/>
          <w:szCs w:val="22"/>
          <w:lang w:val="es-ES"/>
        </w:rPr>
      </w:pPr>
      <w:r>
        <w:rPr>
          <w:sz w:val="22"/>
          <w:szCs w:val="22"/>
          <w:lang w:val="es-ES"/>
        </w:rPr>
        <w:t>Los Bienes y Servicios Conexos serán suministrados según lo estipulado en la Lista de Requisitos de los Bienes y en la Lista de Servicios Conexos.</w:t>
      </w:r>
    </w:p>
    <w:p>
      <w:pPr>
        <w:pStyle w:val="CGCONTRATO"/>
        <w:rPr>
          <w:rFonts w:ascii="Times New Roman" w:hAnsi="Times New Roman"/>
        </w:rPr>
      </w:pPr>
      <w:bookmarkStart w:id="769" w:name="_Toc403379153"/>
      <w:r>
        <w:rPr>
          <w:rFonts w:ascii="Times New Roman" w:hAnsi="Times New Roman"/>
        </w:rPr>
        <w:t>Entrega y Documentos</w:t>
      </w:r>
      <w:bookmarkEnd w:id="769"/>
    </w:p>
    <w:p>
      <w:pPr>
        <w:numPr>
          <w:ilvl w:val="0"/>
          <w:numId w:val="123"/>
        </w:numPr>
        <w:spacing w:before="60" w:after="60"/>
        <w:ind w:left="1260" w:hanging="720"/>
        <w:jc w:val="both"/>
        <w:rPr>
          <w:sz w:val="22"/>
          <w:szCs w:val="22"/>
          <w:lang w:val="es-ES"/>
        </w:rPr>
      </w:pPr>
      <w:r>
        <w:rPr>
          <w:sz w:val="22"/>
          <w:szCs w:val="22"/>
          <w:lang w:val="es-ES"/>
        </w:rPr>
        <w:t>Sujeto a lo dispuesto en la Subcláusula 33.1 de las CGC, la Entrega de los Bienes y Cumplimiento de los Servicios Conexos se realizará de acuerdo con el Plan de Entrega y Cronograma de Cumplimiento indicado en la Lista de Requisitos de los Bienes y en la Lista de Servicios Conexos. Los detalles de los documentos de embarque y otros que deberá suministrar el Proveedor se especifican en las</w:t>
      </w:r>
      <w:r>
        <w:rPr>
          <w:b/>
          <w:sz w:val="22"/>
          <w:szCs w:val="22"/>
          <w:lang w:val="es-ES"/>
        </w:rPr>
        <w:t xml:space="preserve"> CEC</w:t>
      </w:r>
      <w:r>
        <w:rPr>
          <w:sz w:val="22"/>
          <w:szCs w:val="22"/>
          <w:lang w:val="es-ES"/>
        </w:rPr>
        <w:t>.</w:t>
      </w:r>
    </w:p>
    <w:p>
      <w:pPr>
        <w:pStyle w:val="CGCONTRATO"/>
        <w:rPr>
          <w:rFonts w:ascii="Times New Roman" w:hAnsi="Times New Roman"/>
        </w:rPr>
      </w:pPr>
      <w:bookmarkStart w:id="770" w:name="_Toc106188573"/>
      <w:bookmarkStart w:id="771" w:name="_Toc403379154"/>
      <w:r>
        <w:rPr>
          <w:rFonts w:ascii="Times New Roman" w:hAnsi="Times New Roman"/>
        </w:rPr>
        <w:t>Responsabilidades del Proveedor</w:t>
      </w:r>
      <w:bookmarkEnd w:id="770"/>
      <w:bookmarkEnd w:id="771"/>
    </w:p>
    <w:p>
      <w:pPr>
        <w:numPr>
          <w:ilvl w:val="0"/>
          <w:numId w:val="124"/>
        </w:numPr>
        <w:spacing w:before="60" w:after="60"/>
        <w:ind w:left="1260" w:hanging="720"/>
        <w:jc w:val="both"/>
        <w:rPr>
          <w:b/>
          <w:sz w:val="22"/>
          <w:szCs w:val="22"/>
          <w:lang w:val="es-ES"/>
        </w:rPr>
      </w:pPr>
      <w:r>
        <w:rPr>
          <w:sz w:val="22"/>
          <w:szCs w:val="22"/>
          <w:lang w:val="es-ES"/>
        </w:rPr>
        <w:t>El Proveedor deberá proporcionar todos los Bienes y Servicios Conexos incluidos en el Alcance de Suministros de conformidad con la Cláusula 12 de las CGC, el Plan de Entrega y Cronograma de Cumplimiento, de conformidad con la Cláusula 13 de las CGC.</w:t>
      </w:r>
    </w:p>
    <w:p>
      <w:pPr>
        <w:pStyle w:val="CGCONTRATO"/>
        <w:rPr>
          <w:rFonts w:ascii="Times New Roman" w:hAnsi="Times New Roman"/>
        </w:rPr>
      </w:pPr>
      <w:bookmarkStart w:id="772" w:name="_Toc403379155"/>
      <w:r>
        <w:rPr>
          <w:rFonts w:ascii="Times New Roman" w:hAnsi="Times New Roman"/>
        </w:rPr>
        <w:t>Precio del Contrato</w:t>
      </w:r>
      <w:bookmarkEnd w:id="772"/>
    </w:p>
    <w:p>
      <w:pPr>
        <w:numPr>
          <w:ilvl w:val="0"/>
          <w:numId w:val="125"/>
        </w:numPr>
        <w:spacing w:before="60" w:after="60"/>
        <w:ind w:left="1260" w:hanging="720"/>
        <w:jc w:val="both"/>
        <w:rPr>
          <w:b/>
          <w:sz w:val="22"/>
          <w:szCs w:val="22"/>
          <w:lang w:val="es-ES"/>
        </w:rPr>
      </w:pPr>
      <w:r>
        <w:rPr>
          <w:sz w:val="22"/>
          <w:szCs w:val="22"/>
          <w:lang w:val="es-ES"/>
        </w:rPr>
        <w:t>Los precios que cobre el Proveedor por los Bienes proporcionados y los Servicios Conexos prestados en virtud del Contrato no podrán ser diferentes de los cotizados por el Proveedor en su oferta, excepto por cualquier ajuste de precios autorizado en las</w:t>
      </w:r>
      <w:r>
        <w:rPr>
          <w:b/>
          <w:sz w:val="22"/>
          <w:szCs w:val="22"/>
          <w:lang w:val="es-ES"/>
        </w:rPr>
        <w:t xml:space="preserve"> CEC</w:t>
      </w:r>
      <w:r>
        <w:rPr>
          <w:b/>
          <w:bCs/>
          <w:sz w:val="22"/>
          <w:szCs w:val="22"/>
          <w:lang w:val="es-ES"/>
        </w:rPr>
        <w:t>.</w:t>
      </w:r>
    </w:p>
    <w:p>
      <w:pPr>
        <w:pStyle w:val="CGCONTRATO"/>
        <w:rPr>
          <w:rFonts w:ascii="Times New Roman" w:hAnsi="Times New Roman"/>
        </w:rPr>
      </w:pPr>
      <w:bookmarkStart w:id="773" w:name="_Toc403379156"/>
      <w:r>
        <w:rPr>
          <w:rFonts w:ascii="Times New Roman" w:hAnsi="Times New Roman"/>
        </w:rPr>
        <w:t>Condiciones de Pago</w:t>
      </w:r>
      <w:bookmarkEnd w:id="773"/>
      <w:r>
        <w:rPr>
          <w:rFonts w:ascii="Times New Roman" w:hAnsi="Times New Roman"/>
        </w:rPr>
        <w:t xml:space="preserve"> </w:t>
      </w:r>
    </w:p>
    <w:p>
      <w:pPr>
        <w:numPr>
          <w:ilvl w:val="0"/>
          <w:numId w:val="126"/>
        </w:numPr>
        <w:spacing w:before="60" w:after="60"/>
        <w:ind w:left="1260" w:hanging="720"/>
        <w:jc w:val="both"/>
        <w:rPr>
          <w:b/>
          <w:sz w:val="22"/>
          <w:szCs w:val="22"/>
          <w:lang w:val="es-ES"/>
        </w:rPr>
      </w:pPr>
      <w:r>
        <w:rPr>
          <w:sz w:val="22"/>
          <w:szCs w:val="22"/>
          <w:lang w:val="es-ES"/>
        </w:rPr>
        <w:t>El precio del Contrato, incluyendo cualquier pago por anticipo, si corresponde, se pagará según se establece en las</w:t>
      </w:r>
      <w:r>
        <w:rPr>
          <w:b/>
          <w:sz w:val="22"/>
          <w:szCs w:val="22"/>
          <w:lang w:val="es-ES"/>
        </w:rPr>
        <w:t xml:space="preserve"> CEC</w:t>
      </w:r>
      <w:r>
        <w:rPr>
          <w:b/>
          <w:bCs/>
          <w:sz w:val="22"/>
          <w:szCs w:val="22"/>
          <w:lang w:val="es-ES"/>
        </w:rPr>
        <w:t>.</w:t>
      </w:r>
    </w:p>
    <w:p>
      <w:pPr>
        <w:numPr>
          <w:ilvl w:val="0"/>
          <w:numId w:val="126"/>
        </w:numPr>
        <w:spacing w:before="60" w:after="60"/>
        <w:ind w:left="1260" w:hanging="720"/>
        <w:jc w:val="both"/>
        <w:rPr>
          <w:sz w:val="22"/>
          <w:szCs w:val="22"/>
          <w:lang w:val="es-ES"/>
        </w:rPr>
      </w:pPr>
      <w:r>
        <w:rPr>
          <w:sz w:val="22"/>
          <w:szCs w:val="22"/>
          <w:lang w:val="es-ES"/>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pPr>
        <w:numPr>
          <w:ilvl w:val="0"/>
          <w:numId w:val="126"/>
        </w:numPr>
        <w:spacing w:before="60" w:after="60"/>
        <w:ind w:left="1260" w:hanging="720"/>
        <w:jc w:val="both"/>
        <w:rPr>
          <w:sz w:val="22"/>
          <w:szCs w:val="22"/>
          <w:lang w:val="es-ES"/>
        </w:rPr>
      </w:pPr>
      <w:r>
        <w:rPr>
          <w:sz w:val="22"/>
          <w:szCs w:val="22"/>
          <w:lang w:val="es-ES"/>
        </w:rPr>
        <w:t>El Comprador efectuará los pagos prontamente, pero de ninguna manera podrá exceder sesenta (60) días después de la presentación de una factura o solicitud de pago por el Proveedor, y después de que el Comprador la haya aceptado.</w:t>
      </w:r>
    </w:p>
    <w:p>
      <w:pPr>
        <w:numPr>
          <w:ilvl w:val="0"/>
          <w:numId w:val="126"/>
        </w:numPr>
        <w:spacing w:before="60" w:after="60"/>
        <w:ind w:left="1260" w:hanging="720"/>
        <w:jc w:val="both"/>
        <w:rPr>
          <w:sz w:val="22"/>
          <w:szCs w:val="22"/>
          <w:lang w:val="es-ES"/>
        </w:rPr>
      </w:pPr>
      <w:r>
        <w:rPr>
          <w:sz w:val="22"/>
          <w:szCs w:val="22"/>
          <w:lang w:val="es-ES"/>
        </w:rPr>
        <w:lastRenderedPageBreak/>
        <w:t xml:space="preserve">Las monedas en las que se le pagará al Proveedor en virtud de este Contrato serán aquellas que el Proveedor hubiese especificado en su oferta. </w:t>
      </w:r>
    </w:p>
    <w:p>
      <w:pPr>
        <w:numPr>
          <w:ilvl w:val="0"/>
          <w:numId w:val="126"/>
        </w:numPr>
        <w:spacing w:before="60" w:after="60"/>
        <w:ind w:left="1260" w:hanging="720"/>
        <w:jc w:val="both"/>
        <w:rPr>
          <w:sz w:val="22"/>
          <w:szCs w:val="22"/>
          <w:lang w:val="es-ES"/>
        </w:rPr>
      </w:pPr>
      <w:r>
        <w:rPr>
          <w:sz w:val="22"/>
          <w:szCs w:val="22"/>
          <w:lang w:val="es-ES"/>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pPr>
        <w:pStyle w:val="CGCONTRATO"/>
        <w:rPr>
          <w:rFonts w:ascii="Times New Roman" w:hAnsi="Times New Roman"/>
        </w:rPr>
      </w:pPr>
      <w:bookmarkStart w:id="774" w:name="_Toc403379157"/>
      <w:r>
        <w:rPr>
          <w:rFonts w:ascii="Times New Roman" w:hAnsi="Times New Roman"/>
        </w:rPr>
        <w:t>Impuestos y Derechos</w:t>
      </w:r>
      <w:bookmarkEnd w:id="774"/>
      <w:r>
        <w:rPr>
          <w:rFonts w:ascii="Times New Roman" w:hAnsi="Times New Roman"/>
        </w:rPr>
        <w:t xml:space="preserve"> </w:t>
      </w:r>
    </w:p>
    <w:p>
      <w:pPr>
        <w:numPr>
          <w:ilvl w:val="0"/>
          <w:numId w:val="127"/>
        </w:numPr>
        <w:spacing w:before="60" w:after="60"/>
        <w:ind w:left="1260" w:hanging="720"/>
        <w:jc w:val="both"/>
        <w:rPr>
          <w:sz w:val="22"/>
          <w:szCs w:val="22"/>
          <w:lang w:val="es-ES"/>
        </w:rPr>
      </w:pPr>
      <w:r>
        <w:rPr>
          <w:sz w:val="22"/>
          <w:szCs w:val="22"/>
          <w:lang w:val="es-ES"/>
        </w:rPr>
        <w:t>En el caso de Bienes fabricados fuera del país del Comprador, el Proveedor será totalmente responsable por todos los impuestos, timbres, comisiones por licencias, y otros cargos similares impuestos fuera del país del Comprador.</w:t>
      </w:r>
    </w:p>
    <w:p>
      <w:pPr>
        <w:numPr>
          <w:ilvl w:val="0"/>
          <w:numId w:val="127"/>
        </w:numPr>
        <w:spacing w:before="60" w:after="60"/>
        <w:ind w:left="1260" w:hanging="720"/>
        <w:jc w:val="both"/>
        <w:rPr>
          <w:sz w:val="22"/>
          <w:szCs w:val="22"/>
          <w:lang w:val="es-ES"/>
        </w:rPr>
      </w:pPr>
      <w:r>
        <w:rPr>
          <w:sz w:val="22"/>
          <w:szCs w:val="22"/>
          <w:lang w:val="es-ES"/>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pPr>
        <w:numPr>
          <w:ilvl w:val="0"/>
          <w:numId w:val="127"/>
        </w:numPr>
        <w:spacing w:before="60" w:after="60"/>
        <w:ind w:left="1260" w:hanging="720"/>
        <w:jc w:val="both"/>
        <w:rPr>
          <w:sz w:val="22"/>
          <w:szCs w:val="22"/>
          <w:lang w:val="es-ES"/>
        </w:rPr>
      </w:pPr>
      <w:r>
        <w:rPr>
          <w:sz w:val="22"/>
          <w:szCs w:val="22"/>
          <w:lang w:val="es-ES"/>
        </w:rPr>
        <w:t>El Comprador interpondrá sus mejores oficios para que el Proveedor se beneficie con el mayor alcance posible de cualquier exención impositiva, concesiones, o privilegios legales que pudiesen aplicar al Proveedor en el país del Comprador.</w:t>
      </w:r>
    </w:p>
    <w:p>
      <w:pPr>
        <w:pStyle w:val="CGCONTRATO"/>
        <w:rPr>
          <w:rFonts w:ascii="Times New Roman" w:hAnsi="Times New Roman"/>
        </w:rPr>
      </w:pPr>
      <w:bookmarkStart w:id="775" w:name="_Toc403379158"/>
      <w:r>
        <w:rPr>
          <w:rFonts w:ascii="Times New Roman" w:hAnsi="Times New Roman"/>
        </w:rPr>
        <w:t>Garantía de Cumplimiento</w:t>
      </w:r>
      <w:bookmarkEnd w:id="775"/>
    </w:p>
    <w:p>
      <w:pPr>
        <w:numPr>
          <w:ilvl w:val="0"/>
          <w:numId w:val="128"/>
        </w:numPr>
        <w:spacing w:before="60" w:after="60"/>
        <w:ind w:left="1260" w:hanging="720"/>
        <w:jc w:val="both"/>
        <w:rPr>
          <w:sz w:val="22"/>
          <w:szCs w:val="22"/>
          <w:lang w:val="es-ES"/>
        </w:rPr>
      </w:pPr>
      <w:r>
        <w:rPr>
          <w:sz w:val="22"/>
          <w:szCs w:val="22"/>
          <w:lang w:val="es-ES"/>
        </w:rPr>
        <w:t xml:space="preserve">Si así se estipula en las </w:t>
      </w:r>
      <w:r>
        <w:rPr>
          <w:b/>
          <w:sz w:val="22"/>
          <w:szCs w:val="22"/>
          <w:lang w:val="es-ES"/>
        </w:rPr>
        <w:t>CEC</w:t>
      </w:r>
      <w:r>
        <w:rPr>
          <w:sz w:val="22"/>
          <w:szCs w:val="22"/>
          <w:lang w:val="es-ES"/>
        </w:rPr>
        <w:t xml:space="preserve">, el Proveedor, dentro de los siguientes veintiocho (28) días de la notificación de la adjudicación del Contrato, deberá suministrar la Garantía de Cumplimiento del Contrato por el monto establecido en las </w:t>
      </w:r>
      <w:r>
        <w:rPr>
          <w:b/>
          <w:sz w:val="22"/>
          <w:szCs w:val="22"/>
          <w:lang w:val="es-ES"/>
        </w:rPr>
        <w:t>CEC</w:t>
      </w:r>
      <w:r>
        <w:rPr>
          <w:sz w:val="22"/>
          <w:szCs w:val="22"/>
          <w:lang w:val="es-ES"/>
        </w:rPr>
        <w:t>.</w:t>
      </w:r>
    </w:p>
    <w:p>
      <w:pPr>
        <w:numPr>
          <w:ilvl w:val="0"/>
          <w:numId w:val="128"/>
        </w:numPr>
        <w:spacing w:before="60" w:after="60"/>
        <w:ind w:left="1260" w:hanging="720"/>
        <w:jc w:val="both"/>
        <w:rPr>
          <w:sz w:val="22"/>
          <w:szCs w:val="22"/>
          <w:lang w:val="es-ES"/>
        </w:rPr>
      </w:pPr>
      <w:r>
        <w:rPr>
          <w:sz w:val="22"/>
          <w:szCs w:val="22"/>
          <w:lang w:val="es-ES"/>
        </w:rPr>
        <w:t>Los recursos de la Garantía de Cumplimiento serán pagaderos al Comprador como indemnización por cualquier pérdida que le pudiera ocasionar el incumplimiento de las obligaciones del Proveedor en virtud del Contrato.</w:t>
      </w:r>
    </w:p>
    <w:p>
      <w:pPr>
        <w:numPr>
          <w:ilvl w:val="0"/>
          <w:numId w:val="128"/>
        </w:numPr>
        <w:spacing w:before="60" w:after="60"/>
        <w:ind w:left="1260" w:hanging="720"/>
        <w:jc w:val="both"/>
        <w:rPr>
          <w:sz w:val="22"/>
          <w:szCs w:val="22"/>
          <w:lang w:val="es-ES"/>
        </w:rPr>
      </w:pPr>
      <w:r>
        <w:rPr>
          <w:sz w:val="22"/>
          <w:szCs w:val="22"/>
          <w:lang w:val="es-ES"/>
        </w:rPr>
        <w:t xml:space="preserve">Como se establece en las CEC, la Garantía de Cumplimiento, si es requerida, deberá estar denominada en la(s) misma(s) moneda(s) del Contrato, o en una moneda de libre convertibilidad aceptable al Comprador, y presentada en uno de los formatos estipuladas por el Comprador en las CEC, u en otro formato aceptable al Comprador. </w:t>
      </w:r>
    </w:p>
    <w:p>
      <w:pPr>
        <w:numPr>
          <w:ilvl w:val="0"/>
          <w:numId w:val="128"/>
        </w:numPr>
        <w:spacing w:before="60" w:after="60"/>
        <w:ind w:left="1260" w:hanging="720"/>
        <w:jc w:val="both"/>
        <w:rPr>
          <w:sz w:val="22"/>
          <w:szCs w:val="22"/>
          <w:lang w:val="es-ES"/>
        </w:rPr>
      </w:pPr>
      <w:r>
        <w:rPr>
          <w:sz w:val="22"/>
          <w:szCs w:val="22"/>
          <w:lang w:val="es-ES"/>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pPr>
        <w:pStyle w:val="CGCONTRATO"/>
        <w:rPr>
          <w:rFonts w:ascii="Times New Roman" w:hAnsi="Times New Roman"/>
        </w:rPr>
      </w:pPr>
      <w:bookmarkStart w:id="776" w:name="_Toc403379159"/>
      <w:r>
        <w:rPr>
          <w:rFonts w:ascii="Times New Roman" w:hAnsi="Times New Roman"/>
        </w:rPr>
        <w:t>Derechos de Autor</w:t>
      </w:r>
      <w:bookmarkEnd w:id="776"/>
    </w:p>
    <w:p>
      <w:pPr>
        <w:numPr>
          <w:ilvl w:val="0"/>
          <w:numId w:val="129"/>
        </w:numPr>
        <w:spacing w:before="60" w:after="60"/>
        <w:ind w:left="1260" w:hanging="720"/>
        <w:jc w:val="both"/>
        <w:rPr>
          <w:b/>
          <w:sz w:val="22"/>
          <w:szCs w:val="22"/>
          <w:lang w:val="es-ES"/>
        </w:rPr>
      </w:pPr>
      <w:r>
        <w:rPr>
          <w:sz w:val="22"/>
          <w:szCs w:val="22"/>
          <w:lang w:val="es-ES"/>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pPr>
        <w:pStyle w:val="CGCONTRATO"/>
        <w:rPr>
          <w:rFonts w:ascii="Times New Roman" w:hAnsi="Times New Roman"/>
        </w:rPr>
      </w:pPr>
      <w:bookmarkStart w:id="777" w:name="_Toc403379160"/>
      <w:r>
        <w:rPr>
          <w:rFonts w:ascii="Times New Roman" w:hAnsi="Times New Roman"/>
        </w:rPr>
        <w:t>Confidencialidad de la Información</w:t>
      </w:r>
      <w:bookmarkEnd w:id="777"/>
      <w:r>
        <w:rPr>
          <w:rFonts w:ascii="Times New Roman" w:hAnsi="Times New Roman"/>
        </w:rPr>
        <w:t xml:space="preserve"> </w:t>
      </w:r>
    </w:p>
    <w:p>
      <w:pPr>
        <w:numPr>
          <w:ilvl w:val="0"/>
          <w:numId w:val="130"/>
        </w:numPr>
        <w:spacing w:before="60" w:after="60"/>
        <w:ind w:left="1260" w:hanging="720"/>
        <w:jc w:val="both"/>
        <w:rPr>
          <w:sz w:val="22"/>
          <w:szCs w:val="22"/>
          <w:lang w:val="es-ES"/>
        </w:rPr>
      </w:pPr>
      <w:r>
        <w:rPr>
          <w:sz w:val="22"/>
          <w:szCs w:val="22"/>
          <w:lang w:val="es-ES"/>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pPr>
        <w:numPr>
          <w:ilvl w:val="0"/>
          <w:numId w:val="130"/>
        </w:numPr>
        <w:spacing w:before="60" w:after="60"/>
        <w:ind w:left="1260" w:hanging="720"/>
        <w:jc w:val="both"/>
        <w:rPr>
          <w:sz w:val="22"/>
          <w:szCs w:val="22"/>
          <w:lang w:val="es-ES"/>
        </w:rPr>
      </w:pPr>
      <w:r>
        <w:rPr>
          <w:sz w:val="22"/>
          <w:szCs w:val="22"/>
          <w:lang w:val="es-ES"/>
        </w:rPr>
        <w:lastRenderedPageBreak/>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pPr>
        <w:numPr>
          <w:ilvl w:val="0"/>
          <w:numId w:val="130"/>
        </w:numPr>
        <w:spacing w:before="60" w:after="60"/>
        <w:ind w:left="1260" w:hanging="720"/>
        <w:jc w:val="both"/>
        <w:rPr>
          <w:sz w:val="22"/>
          <w:szCs w:val="22"/>
          <w:lang w:val="es-ES"/>
        </w:rPr>
      </w:pPr>
      <w:r>
        <w:rPr>
          <w:sz w:val="22"/>
          <w:szCs w:val="22"/>
          <w:lang w:val="es-ES"/>
        </w:rPr>
        <w:t>La obligación de las partes de conformidad con las Subcláusulas 20.1 y 20.2 de las CGC arriba mencionadas, no aplicará a información que:</w:t>
      </w:r>
    </w:p>
    <w:p>
      <w:pPr>
        <w:numPr>
          <w:ilvl w:val="0"/>
          <w:numId w:val="145"/>
        </w:numPr>
        <w:spacing w:before="60" w:after="60"/>
        <w:ind w:left="1620"/>
        <w:jc w:val="both"/>
        <w:rPr>
          <w:sz w:val="22"/>
          <w:szCs w:val="22"/>
          <w:lang w:val="es-ES"/>
        </w:rPr>
      </w:pPr>
      <w:r>
        <w:rPr>
          <w:sz w:val="22"/>
          <w:szCs w:val="22"/>
          <w:lang w:val="es-ES"/>
        </w:rPr>
        <w:t xml:space="preserve">el Comprador o el Proveedor requieran compartir con el Banco u otras instituciones que participan en el financiamiento del Contrato; </w:t>
      </w:r>
    </w:p>
    <w:p>
      <w:pPr>
        <w:numPr>
          <w:ilvl w:val="0"/>
          <w:numId w:val="145"/>
        </w:numPr>
        <w:spacing w:before="60" w:after="60"/>
        <w:ind w:left="1620"/>
        <w:jc w:val="both"/>
        <w:rPr>
          <w:sz w:val="22"/>
          <w:szCs w:val="22"/>
          <w:lang w:val="es-ES"/>
        </w:rPr>
      </w:pPr>
      <w:r>
        <w:rPr>
          <w:sz w:val="22"/>
          <w:szCs w:val="22"/>
          <w:lang w:val="es-ES"/>
        </w:rPr>
        <w:t>actualmente o en el futuro se hace de dominio público sin culpa de ninguna de las partes;</w:t>
      </w:r>
    </w:p>
    <w:p>
      <w:pPr>
        <w:numPr>
          <w:ilvl w:val="0"/>
          <w:numId w:val="145"/>
        </w:numPr>
        <w:spacing w:before="60" w:after="60"/>
        <w:ind w:left="1620"/>
        <w:jc w:val="both"/>
        <w:rPr>
          <w:sz w:val="22"/>
          <w:szCs w:val="22"/>
          <w:lang w:val="es-ES"/>
        </w:rPr>
      </w:pPr>
      <w:r>
        <w:rPr>
          <w:sz w:val="22"/>
          <w:szCs w:val="22"/>
          <w:lang w:val="es-ES"/>
        </w:rPr>
        <w:t xml:space="preserve">puede comprobarse que estaba en posesión de esa parte en el momento que fue divulgada y no fue obtenida previamente directa o indirectamente de la otra parte; o  </w:t>
      </w:r>
    </w:p>
    <w:p>
      <w:pPr>
        <w:numPr>
          <w:ilvl w:val="0"/>
          <w:numId w:val="145"/>
        </w:numPr>
        <w:spacing w:before="60" w:after="60"/>
        <w:ind w:left="1620"/>
        <w:jc w:val="both"/>
        <w:rPr>
          <w:sz w:val="22"/>
          <w:szCs w:val="22"/>
          <w:lang w:val="es-ES"/>
        </w:rPr>
      </w:pPr>
      <w:r>
        <w:rPr>
          <w:sz w:val="22"/>
          <w:szCs w:val="22"/>
          <w:lang w:val="es-ES"/>
        </w:rPr>
        <w:t>que de otra manera fue legalmente puesta a la disponibilidad de esa parte por una tercera parte que no tenía obligación de confidencialidad.</w:t>
      </w:r>
    </w:p>
    <w:p>
      <w:pPr>
        <w:numPr>
          <w:ilvl w:val="0"/>
          <w:numId w:val="130"/>
        </w:numPr>
        <w:spacing w:before="60" w:after="60"/>
        <w:ind w:left="1260" w:hanging="720"/>
        <w:jc w:val="both"/>
        <w:rPr>
          <w:sz w:val="22"/>
          <w:szCs w:val="22"/>
          <w:lang w:val="es-ES"/>
        </w:rPr>
      </w:pPr>
      <w:r>
        <w:rPr>
          <w:sz w:val="22"/>
          <w:szCs w:val="22"/>
          <w:lang w:val="es-ES"/>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pPr>
        <w:numPr>
          <w:ilvl w:val="0"/>
          <w:numId w:val="130"/>
        </w:numPr>
        <w:spacing w:before="60" w:after="60"/>
        <w:ind w:left="1260" w:hanging="720"/>
        <w:jc w:val="both"/>
        <w:rPr>
          <w:sz w:val="22"/>
          <w:szCs w:val="22"/>
          <w:lang w:val="es-ES"/>
        </w:rPr>
      </w:pPr>
      <w:r>
        <w:rPr>
          <w:sz w:val="22"/>
          <w:szCs w:val="22"/>
          <w:lang w:val="es-ES"/>
        </w:rPr>
        <w:t>Las disposiciones de la Cláusula 20 de las CGC   permanecerán válidas después del cumplimiento o terminación del Contrato por cualquier razón.</w:t>
      </w:r>
    </w:p>
    <w:p>
      <w:pPr>
        <w:pStyle w:val="CGCONTRATO"/>
        <w:rPr>
          <w:rFonts w:ascii="Times New Roman" w:hAnsi="Times New Roman"/>
        </w:rPr>
      </w:pPr>
      <w:bookmarkStart w:id="778" w:name="_Toc403379161"/>
      <w:r>
        <w:rPr>
          <w:rFonts w:ascii="Times New Roman" w:hAnsi="Times New Roman"/>
        </w:rPr>
        <w:t>Subcontratación</w:t>
      </w:r>
      <w:bookmarkEnd w:id="778"/>
      <w:r>
        <w:rPr>
          <w:rFonts w:ascii="Times New Roman" w:hAnsi="Times New Roman"/>
        </w:rPr>
        <w:t xml:space="preserve"> </w:t>
      </w:r>
    </w:p>
    <w:p>
      <w:pPr>
        <w:numPr>
          <w:ilvl w:val="0"/>
          <w:numId w:val="131"/>
        </w:numPr>
        <w:spacing w:before="60" w:after="60"/>
        <w:ind w:left="1260" w:hanging="720"/>
        <w:jc w:val="both"/>
        <w:rPr>
          <w:sz w:val="22"/>
          <w:szCs w:val="22"/>
          <w:lang w:val="es-ES"/>
        </w:rPr>
      </w:pPr>
      <w:r>
        <w:rPr>
          <w:sz w:val="22"/>
          <w:szCs w:val="22"/>
          <w:lang w:val="es-ES"/>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pPr>
        <w:numPr>
          <w:ilvl w:val="0"/>
          <w:numId w:val="131"/>
        </w:numPr>
        <w:spacing w:before="60" w:after="60"/>
        <w:ind w:left="1260" w:hanging="720"/>
        <w:jc w:val="both"/>
        <w:rPr>
          <w:sz w:val="22"/>
          <w:szCs w:val="22"/>
          <w:lang w:val="es-ES"/>
        </w:rPr>
      </w:pPr>
      <w:r>
        <w:rPr>
          <w:sz w:val="22"/>
          <w:szCs w:val="22"/>
          <w:lang w:val="es-ES"/>
        </w:rPr>
        <w:t>Todos los subcontratos deberán cumplir con las disposiciones de las Cláusulas 3 y 7 de las CGC.</w:t>
      </w:r>
    </w:p>
    <w:p>
      <w:pPr>
        <w:pStyle w:val="CGCONTRATO"/>
        <w:rPr>
          <w:rFonts w:ascii="Times New Roman" w:hAnsi="Times New Roman"/>
        </w:rPr>
      </w:pPr>
      <w:bookmarkStart w:id="779" w:name="_Toc403379162"/>
      <w:r>
        <w:rPr>
          <w:rFonts w:ascii="Times New Roman" w:hAnsi="Times New Roman"/>
        </w:rPr>
        <w:t>Especificaciones y Normas</w:t>
      </w:r>
      <w:bookmarkEnd w:id="779"/>
      <w:r>
        <w:rPr>
          <w:rFonts w:ascii="Times New Roman" w:hAnsi="Times New Roman"/>
        </w:rPr>
        <w:t xml:space="preserve"> </w:t>
      </w:r>
    </w:p>
    <w:p>
      <w:pPr>
        <w:numPr>
          <w:ilvl w:val="0"/>
          <w:numId w:val="132"/>
        </w:numPr>
        <w:spacing w:before="60" w:after="60"/>
        <w:ind w:left="1260" w:hanging="720"/>
        <w:jc w:val="both"/>
        <w:rPr>
          <w:b/>
          <w:sz w:val="22"/>
          <w:szCs w:val="22"/>
          <w:lang w:val="es-ES"/>
        </w:rPr>
      </w:pPr>
      <w:r>
        <w:rPr>
          <w:sz w:val="22"/>
          <w:szCs w:val="22"/>
          <w:lang w:val="es-ES"/>
        </w:rPr>
        <w:t>Especificaciones Técnicas y Planos</w:t>
      </w:r>
    </w:p>
    <w:p>
      <w:pPr>
        <w:numPr>
          <w:ilvl w:val="0"/>
          <w:numId w:val="146"/>
        </w:numPr>
        <w:spacing w:before="60" w:after="60"/>
        <w:ind w:left="1620"/>
        <w:jc w:val="both"/>
        <w:rPr>
          <w:sz w:val="22"/>
          <w:szCs w:val="22"/>
          <w:lang w:val="es-ES"/>
        </w:rPr>
      </w:pPr>
      <w:r>
        <w:rPr>
          <w:sz w:val="22"/>
          <w:szCs w:val="22"/>
          <w:lang w:val="es-ES"/>
        </w:rPr>
        <w:t>Los Bienes y Servicios Conexos proporcionados bajo este Contrato deberán ajustarse a las especificaciones técnicas y a las normas estipuladas en la Sección VI, Requisitos de los Bienes y Servicios Conexos y, cuando no se hace referencia a una norma aplicable, la norma será equivalente o superior a las normas oficiales cuya aplicación sea apropiada en el país de origen de los Bienes.</w:t>
      </w:r>
    </w:p>
    <w:p>
      <w:pPr>
        <w:numPr>
          <w:ilvl w:val="0"/>
          <w:numId w:val="146"/>
        </w:numPr>
        <w:spacing w:before="60" w:after="60"/>
        <w:ind w:left="1620"/>
        <w:jc w:val="both"/>
        <w:rPr>
          <w:sz w:val="22"/>
          <w:szCs w:val="22"/>
          <w:lang w:val="es-ES"/>
        </w:rPr>
      </w:pPr>
      <w:r>
        <w:rPr>
          <w:sz w:val="22"/>
          <w:szCs w:val="22"/>
          <w:lang w:val="es-ES"/>
        </w:rPr>
        <w:t>El Proveedor tendrá derecho a rehusar responsabilidad por cualquier diseño, dato, plano, especificación u otro documento, o por cualquier modificación proporcionada o diseñada por o  en nombre del Comprador, mediante notificación al Comprador de dicho rechazo.</w:t>
      </w:r>
    </w:p>
    <w:p>
      <w:pPr>
        <w:numPr>
          <w:ilvl w:val="0"/>
          <w:numId w:val="146"/>
        </w:numPr>
        <w:spacing w:before="60" w:after="60"/>
        <w:ind w:left="1620"/>
        <w:jc w:val="both"/>
        <w:rPr>
          <w:b/>
          <w:sz w:val="22"/>
          <w:szCs w:val="22"/>
          <w:lang w:val="es-ES"/>
        </w:rPr>
      </w:pPr>
      <w:r>
        <w:rPr>
          <w:sz w:val="22"/>
          <w:szCs w:val="22"/>
          <w:lang w:val="es-ES"/>
        </w:rPr>
        <w:t>Cuando en el Contrato se hagan referencias a códigos y normas conforme a las cuales éste debe ejecutarse, la edición o versión revisada de dichos códigos y normas será la especificada en la Lista de Requisitos de los Bienes y Servicios Conexos. Cualquier cambio de dichos códigos o normas durante la ejecución del Contrato se aplicará solamente con la aprobación previa del Comprador y dicho cambio se regirá de conformidad con la Cláusula 33 de las CGC.</w:t>
      </w:r>
    </w:p>
    <w:p>
      <w:pPr>
        <w:pStyle w:val="CGCONTRATO"/>
        <w:rPr>
          <w:rFonts w:ascii="Times New Roman" w:hAnsi="Times New Roman"/>
        </w:rPr>
      </w:pPr>
      <w:bookmarkStart w:id="780" w:name="_Toc106188582"/>
      <w:bookmarkStart w:id="781" w:name="_Toc403379163"/>
      <w:r>
        <w:rPr>
          <w:rFonts w:ascii="Times New Roman" w:hAnsi="Times New Roman"/>
        </w:rPr>
        <w:t>Embalaje y Documentos</w:t>
      </w:r>
      <w:bookmarkEnd w:id="780"/>
      <w:bookmarkEnd w:id="781"/>
    </w:p>
    <w:p>
      <w:pPr>
        <w:numPr>
          <w:ilvl w:val="0"/>
          <w:numId w:val="133"/>
        </w:numPr>
        <w:spacing w:before="60" w:after="60"/>
        <w:ind w:left="1260" w:hanging="720"/>
        <w:jc w:val="both"/>
        <w:rPr>
          <w:sz w:val="22"/>
          <w:szCs w:val="22"/>
          <w:lang w:val="es-ES"/>
        </w:rPr>
      </w:pPr>
      <w:r>
        <w:rPr>
          <w:sz w:val="22"/>
          <w:szCs w:val="22"/>
          <w:lang w:val="es-ES"/>
        </w:rPr>
        <w:t xml:space="preserve">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w:t>
      </w:r>
      <w:r>
        <w:rPr>
          <w:sz w:val="22"/>
          <w:szCs w:val="22"/>
          <w:lang w:val="es-ES"/>
        </w:rPr>
        <w:lastRenderedPageBreak/>
        <w:t>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pPr>
        <w:numPr>
          <w:ilvl w:val="0"/>
          <w:numId w:val="133"/>
        </w:numPr>
        <w:spacing w:before="60" w:after="60"/>
        <w:ind w:left="1260" w:hanging="720"/>
        <w:jc w:val="both"/>
        <w:rPr>
          <w:sz w:val="22"/>
          <w:szCs w:val="22"/>
          <w:lang w:val="es-ES"/>
        </w:rPr>
      </w:pPr>
      <w:r>
        <w:rPr>
          <w:sz w:val="22"/>
          <w:szCs w:val="22"/>
          <w:lang w:val="es-ES"/>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Pr>
          <w:b/>
          <w:sz w:val="22"/>
          <w:szCs w:val="22"/>
          <w:lang w:val="es-ES"/>
        </w:rPr>
        <w:t xml:space="preserve"> CEC</w:t>
      </w:r>
      <w:r>
        <w:rPr>
          <w:sz w:val="22"/>
          <w:szCs w:val="22"/>
          <w:lang w:val="es-ES"/>
        </w:rPr>
        <w:t xml:space="preserve"> y en cualquiera otra instrucción dispuesta por el Comprador.</w:t>
      </w:r>
    </w:p>
    <w:p>
      <w:pPr>
        <w:pStyle w:val="CGCONTRATO"/>
        <w:rPr>
          <w:rFonts w:ascii="Times New Roman" w:hAnsi="Times New Roman"/>
        </w:rPr>
      </w:pPr>
      <w:bookmarkStart w:id="782" w:name="_Toc106188583"/>
      <w:bookmarkStart w:id="783" w:name="_Toc403379164"/>
      <w:r>
        <w:rPr>
          <w:rFonts w:ascii="Times New Roman" w:hAnsi="Times New Roman"/>
        </w:rPr>
        <w:t>Seguros</w:t>
      </w:r>
      <w:bookmarkEnd w:id="782"/>
      <w:bookmarkEnd w:id="783"/>
    </w:p>
    <w:p>
      <w:pPr>
        <w:numPr>
          <w:ilvl w:val="0"/>
          <w:numId w:val="134"/>
        </w:numPr>
        <w:spacing w:before="60" w:after="60"/>
        <w:ind w:left="1267" w:hanging="720"/>
        <w:jc w:val="both"/>
        <w:rPr>
          <w:b/>
          <w:sz w:val="22"/>
          <w:szCs w:val="22"/>
          <w:lang w:val="es-ES"/>
        </w:rPr>
      </w:pPr>
      <w:r>
        <w:rPr>
          <w:sz w:val="22"/>
          <w:szCs w:val="22"/>
          <w:lang w:val="es-ES"/>
        </w:rPr>
        <w:t>A menos que se disponga otra cosa en las</w:t>
      </w:r>
      <w:r>
        <w:rPr>
          <w:b/>
          <w:sz w:val="22"/>
          <w:szCs w:val="22"/>
          <w:lang w:val="es-ES"/>
        </w:rPr>
        <w:t xml:space="preserve"> CEC</w:t>
      </w:r>
      <w:r>
        <w:rPr>
          <w:sz w:val="22"/>
          <w:szCs w:val="22"/>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Pr>
          <w:i/>
          <w:sz w:val="22"/>
          <w:szCs w:val="22"/>
          <w:lang w:val="es-ES"/>
        </w:rPr>
        <w:t xml:space="preserve">Incoterms </w:t>
      </w:r>
      <w:r>
        <w:rPr>
          <w:sz w:val="22"/>
          <w:szCs w:val="22"/>
          <w:lang w:val="es-ES"/>
        </w:rPr>
        <w:t>aplicables o según se disponga en las</w:t>
      </w:r>
      <w:r>
        <w:rPr>
          <w:b/>
          <w:sz w:val="22"/>
          <w:szCs w:val="22"/>
          <w:lang w:val="es-ES"/>
        </w:rPr>
        <w:t xml:space="preserve"> CEC</w:t>
      </w:r>
      <w:r>
        <w:rPr>
          <w:b/>
          <w:bCs/>
          <w:sz w:val="22"/>
          <w:szCs w:val="22"/>
          <w:lang w:val="es-ES"/>
        </w:rPr>
        <w:t>.</w:t>
      </w:r>
    </w:p>
    <w:p>
      <w:pPr>
        <w:pStyle w:val="CGCONTRATO"/>
        <w:rPr>
          <w:rFonts w:ascii="Times New Roman" w:hAnsi="Times New Roman"/>
        </w:rPr>
      </w:pPr>
      <w:bookmarkStart w:id="784" w:name="_Toc106188584"/>
      <w:bookmarkStart w:id="785" w:name="_Toc403379165"/>
      <w:r>
        <w:rPr>
          <w:rFonts w:ascii="Times New Roman" w:hAnsi="Times New Roman"/>
        </w:rPr>
        <w:t>Transporte</w:t>
      </w:r>
      <w:bookmarkEnd w:id="784"/>
      <w:bookmarkEnd w:id="785"/>
    </w:p>
    <w:p>
      <w:pPr>
        <w:numPr>
          <w:ilvl w:val="0"/>
          <w:numId w:val="135"/>
        </w:numPr>
        <w:spacing w:before="60" w:after="60"/>
        <w:ind w:left="1267" w:hanging="720"/>
        <w:jc w:val="both"/>
        <w:rPr>
          <w:b/>
          <w:sz w:val="22"/>
          <w:szCs w:val="22"/>
          <w:lang w:val="es-ES"/>
        </w:rPr>
      </w:pPr>
      <w:r>
        <w:rPr>
          <w:sz w:val="22"/>
          <w:szCs w:val="22"/>
          <w:lang w:val="es-ES"/>
        </w:rPr>
        <w:t>A menos que se disponga otra cosa en las</w:t>
      </w:r>
      <w:r>
        <w:rPr>
          <w:b/>
          <w:sz w:val="22"/>
          <w:szCs w:val="22"/>
          <w:lang w:val="es-ES"/>
        </w:rPr>
        <w:t xml:space="preserve"> CEC</w:t>
      </w:r>
      <w:r>
        <w:rPr>
          <w:sz w:val="22"/>
          <w:szCs w:val="22"/>
          <w:lang w:val="es-ES"/>
        </w:rPr>
        <w:t>, la responsabilidad por los arreglos de transporte de los Bienes se regirá por los</w:t>
      </w:r>
      <w:r>
        <w:rPr>
          <w:i/>
          <w:sz w:val="22"/>
          <w:szCs w:val="22"/>
          <w:lang w:val="es-ES"/>
        </w:rPr>
        <w:t xml:space="preserve"> Incoterms</w:t>
      </w:r>
      <w:r>
        <w:rPr>
          <w:sz w:val="22"/>
          <w:szCs w:val="22"/>
          <w:lang w:val="es-ES"/>
        </w:rPr>
        <w:t xml:space="preserve"> indicados.</w:t>
      </w:r>
    </w:p>
    <w:p>
      <w:pPr>
        <w:pStyle w:val="CGCONTRATO"/>
        <w:rPr>
          <w:rFonts w:ascii="Times New Roman" w:hAnsi="Times New Roman"/>
        </w:rPr>
      </w:pPr>
      <w:bookmarkStart w:id="786" w:name="_Toc106188585"/>
      <w:bookmarkStart w:id="787" w:name="_Toc403379166"/>
      <w:r>
        <w:rPr>
          <w:rFonts w:ascii="Times New Roman" w:hAnsi="Times New Roman"/>
        </w:rPr>
        <w:t>Inspecciones y Pruebas</w:t>
      </w:r>
      <w:bookmarkEnd w:id="786"/>
      <w:bookmarkEnd w:id="787"/>
    </w:p>
    <w:p>
      <w:pPr>
        <w:numPr>
          <w:ilvl w:val="0"/>
          <w:numId w:val="136"/>
        </w:numPr>
        <w:spacing w:before="60" w:after="60"/>
        <w:ind w:left="1260" w:hanging="720"/>
        <w:jc w:val="both"/>
        <w:rPr>
          <w:sz w:val="22"/>
          <w:szCs w:val="22"/>
          <w:lang w:val="es-ES"/>
        </w:rPr>
      </w:pPr>
      <w:r>
        <w:rPr>
          <w:sz w:val="22"/>
          <w:szCs w:val="22"/>
          <w:lang w:val="es-ES"/>
        </w:rPr>
        <w:t>El Proveedor realizará todas las pruebas y/o inspecciones de los Bienes y Servicios Conexos según se dispone en las</w:t>
      </w:r>
      <w:r>
        <w:rPr>
          <w:b/>
          <w:sz w:val="22"/>
          <w:szCs w:val="22"/>
          <w:lang w:val="es-ES"/>
        </w:rPr>
        <w:t xml:space="preserve"> CEC</w:t>
      </w:r>
      <w:r>
        <w:rPr>
          <w:sz w:val="22"/>
          <w:szCs w:val="22"/>
          <w:lang w:val="es-ES"/>
        </w:rPr>
        <w:t>, por su cuenta y sin costo alguno para el Comprador.</w:t>
      </w:r>
    </w:p>
    <w:p>
      <w:pPr>
        <w:numPr>
          <w:ilvl w:val="0"/>
          <w:numId w:val="136"/>
        </w:numPr>
        <w:spacing w:before="60" w:after="60"/>
        <w:ind w:left="1260" w:hanging="720"/>
        <w:jc w:val="both"/>
        <w:rPr>
          <w:sz w:val="22"/>
          <w:szCs w:val="22"/>
          <w:lang w:val="es-ES"/>
        </w:rPr>
      </w:pPr>
      <w:r>
        <w:rPr>
          <w:sz w:val="22"/>
          <w:szCs w:val="22"/>
          <w:lang w:val="es-ES"/>
        </w:rPr>
        <w:t>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pPr>
        <w:numPr>
          <w:ilvl w:val="0"/>
          <w:numId w:val="136"/>
        </w:numPr>
        <w:spacing w:before="60" w:after="60"/>
        <w:ind w:left="1260" w:hanging="720"/>
        <w:jc w:val="both"/>
        <w:rPr>
          <w:sz w:val="22"/>
          <w:szCs w:val="22"/>
          <w:lang w:val="es-ES"/>
        </w:rPr>
      </w:pPr>
      <w:r>
        <w:rPr>
          <w:sz w:val="22"/>
          <w:szCs w:val="22"/>
          <w:lang w:val="es-ES"/>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pPr>
        <w:numPr>
          <w:ilvl w:val="0"/>
          <w:numId w:val="136"/>
        </w:numPr>
        <w:spacing w:before="60" w:after="60"/>
        <w:ind w:left="1260" w:hanging="720"/>
        <w:jc w:val="both"/>
        <w:rPr>
          <w:sz w:val="22"/>
          <w:szCs w:val="22"/>
          <w:lang w:val="es-ES"/>
        </w:rPr>
      </w:pPr>
      <w:r>
        <w:rPr>
          <w:sz w:val="22"/>
          <w:szCs w:val="22"/>
          <w:lang w:val="es-ES"/>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pPr>
        <w:numPr>
          <w:ilvl w:val="0"/>
          <w:numId w:val="136"/>
        </w:numPr>
        <w:spacing w:before="60" w:after="60"/>
        <w:ind w:left="1260" w:hanging="720"/>
        <w:jc w:val="both"/>
        <w:rPr>
          <w:sz w:val="22"/>
          <w:szCs w:val="22"/>
          <w:lang w:val="es-ES"/>
        </w:rPr>
      </w:pPr>
      <w:r>
        <w:rPr>
          <w:sz w:val="22"/>
          <w:szCs w:val="22"/>
          <w:lang w:val="es-ES"/>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pPr>
        <w:numPr>
          <w:ilvl w:val="0"/>
          <w:numId w:val="136"/>
        </w:numPr>
        <w:spacing w:before="60" w:after="60"/>
        <w:ind w:left="1260" w:hanging="720"/>
        <w:jc w:val="both"/>
        <w:rPr>
          <w:sz w:val="22"/>
          <w:szCs w:val="22"/>
          <w:lang w:val="es-ES"/>
        </w:rPr>
      </w:pPr>
      <w:r>
        <w:rPr>
          <w:sz w:val="22"/>
          <w:szCs w:val="22"/>
          <w:lang w:val="es-ES"/>
        </w:rPr>
        <w:t>El Proveedor presentará al Comprador un informe de los resultados de dichas pruebas y/o inspecciones.</w:t>
      </w:r>
    </w:p>
    <w:p>
      <w:pPr>
        <w:numPr>
          <w:ilvl w:val="0"/>
          <w:numId w:val="136"/>
        </w:numPr>
        <w:spacing w:before="60" w:after="60"/>
        <w:ind w:left="1260" w:hanging="720"/>
        <w:jc w:val="both"/>
        <w:rPr>
          <w:sz w:val="22"/>
          <w:szCs w:val="22"/>
          <w:lang w:val="es-ES"/>
        </w:rPr>
      </w:pPr>
      <w:r>
        <w:rPr>
          <w:sz w:val="22"/>
          <w:szCs w:val="22"/>
          <w:lang w:val="es-ES"/>
        </w:rPr>
        <w:lastRenderedPageBreak/>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pPr>
        <w:numPr>
          <w:ilvl w:val="0"/>
          <w:numId w:val="136"/>
        </w:numPr>
        <w:spacing w:before="60" w:after="60"/>
        <w:ind w:left="1260" w:hanging="720"/>
        <w:jc w:val="both"/>
        <w:rPr>
          <w:sz w:val="22"/>
          <w:szCs w:val="22"/>
          <w:lang w:val="es-ES"/>
        </w:rPr>
      </w:pPr>
      <w:r>
        <w:rPr>
          <w:sz w:val="22"/>
          <w:szCs w:val="22"/>
          <w:lang w:val="es-ES"/>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p>
    <w:p>
      <w:pPr>
        <w:pStyle w:val="CGCONTRATO"/>
        <w:rPr>
          <w:rFonts w:ascii="Times New Roman" w:hAnsi="Times New Roman"/>
        </w:rPr>
      </w:pPr>
      <w:bookmarkStart w:id="788" w:name="_Toc106188586"/>
      <w:bookmarkStart w:id="789" w:name="_Toc403379167"/>
      <w:r>
        <w:rPr>
          <w:rFonts w:ascii="Times New Roman" w:hAnsi="Times New Roman"/>
        </w:rPr>
        <w:t>Liquidación por Daños y Perjuicios</w:t>
      </w:r>
      <w:bookmarkEnd w:id="788"/>
      <w:bookmarkEnd w:id="789"/>
    </w:p>
    <w:p>
      <w:pPr>
        <w:numPr>
          <w:ilvl w:val="0"/>
          <w:numId w:val="137"/>
        </w:numPr>
        <w:spacing w:before="60" w:after="60"/>
        <w:ind w:left="1260" w:hanging="720"/>
        <w:jc w:val="both"/>
        <w:rPr>
          <w:b/>
          <w:sz w:val="22"/>
          <w:szCs w:val="22"/>
          <w:lang w:val="es-ES"/>
        </w:rPr>
      </w:pPr>
      <w:r>
        <w:rPr>
          <w:sz w:val="22"/>
          <w:szCs w:val="22"/>
          <w:lang w:val="es-ES"/>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Pr>
          <w:b/>
          <w:sz w:val="22"/>
          <w:szCs w:val="22"/>
          <w:lang w:val="es-ES"/>
        </w:rPr>
        <w:t xml:space="preserve"> CEC</w:t>
      </w:r>
      <w:r>
        <w:rPr>
          <w:sz w:val="22"/>
          <w:szCs w:val="22"/>
          <w:lang w:val="es-ES"/>
        </w:rPr>
        <w:t xml:space="preserve"> por cada semana o parte de la semana de retraso hasta alcanzar el máximo del porcentaje especificado en esas</w:t>
      </w:r>
      <w:r>
        <w:rPr>
          <w:b/>
          <w:sz w:val="22"/>
          <w:szCs w:val="22"/>
          <w:lang w:val="es-ES"/>
        </w:rPr>
        <w:t xml:space="preserve"> CEC</w:t>
      </w:r>
      <w:r>
        <w:rPr>
          <w:sz w:val="22"/>
          <w:szCs w:val="22"/>
          <w:lang w:val="es-ES"/>
        </w:rPr>
        <w:t>. Al alcanzar el máximo establecido, el Comprador podrá dar por terminado el Contrato de conformidad con la Cláusula 35 de las CGC.</w:t>
      </w:r>
    </w:p>
    <w:p>
      <w:pPr>
        <w:pStyle w:val="CGCONTRATO"/>
        <w:rPr>
          <w:rFonts w:ascii="Times New Roman" w:hAnsi="Times New Roman"/>
        </w:rPr>
      </w:pPr>
      <w:bookmarkStart w:id="790" w:name="_Toc106188587"/>
      <w:bookmarkStart w:id="791" w:name="_Toc403379168"/>
      <w:r>
        <w:rPr>
          <w:rFonts w:ascii="Times New Roman" w:hAnsi="Times New Roman"/>
        </w:rPr>
        <w:t>Garantía de los Bienes</w:t>
      </w:r>
      <w:bookmarkEnd w:id="790"/>
      <w:bookmarkEnd w:id="791"/>
    </w:p>
    <w:p>
      <w:pPr>
        <w:numPr>
          <w:ilvl w:val="0"/>
          <w:numId w:val="138"/>
        </w:numPr>
        <w:spacing w:before="60" w:after="60"/>
        <w:ind w:left="1260" w:hanging="720"/>
        <w:jc w:val="both"/>
        <w:rPr>
          <w:sz w:val="22"/>
          <w:szCs w:val="22"/>
          <w:lang w:val="es-ES"/>
        </w:rPr>
      </w:pPr>
      <w:r>
        <w:rPr>
          <w:sz w:val="22"/>
          <w:szCs w:val="22"/>
          <w:lang w:val="es-ES"/>
        </w:rPr>
        <w:t xml:space="preserve">El Proveedor garantiza que todos los bienes suministrados en virtud del Contrato son nuevos, sin uso, del modelo más reciente o actual e incorporan todas las mejoras recientes en cuanto a diseño y materiales, a menos que el Contrato disponga otra cosa o que en las </w:t>
      </w:r>
      <w:r>
        <w:rPr>
          <w:b/>
          <w:bCs/>
          <w:sz w:val="22"/>
          <w:szCs w:val="22"/>
          <w:lang w:val="es-ES"/>
        </w:rPr>
        <w:t>CEC</w:t>
      </w:r>
      <w:r>
        <w:rPr>
          <w:sz w:val="22"/>
          <w:szCs w:val="22"/>
          <w:lang w:val="es-ES"/>
        </w:rPr>
        <w:t xml:space="preserve"> se establezca la adquisición de bienes de segunda mano.</w:t>
      </w:r>
    </w:p>
    <w:p>
      <w:pPr>
        <w:numPr>
          <w:ilvl w:val="0"/>
          <w:numId w:val="138"/>
        </w:numPr>
        <w:spacing w:before="60" w:after="60"/>
        <w:ind w:left="1260" w:hanging="720"/>
        <w:jc w:val="both"/>
        <w:rPr>
          <w:sz w:val="22"/>
          <w:szCs w:val="22"/>
          <w:lang w:val="es-ES"/>
        </w:rPr>
      </w:pPr>
      <w:r>
        <w:rPr>
          <w:sz w:val="22"/>
          <w:szCs w:val="22"/>
          <w:lang w:val="es-ES"/>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pPr>
        <w:numPr>
          <w:ilvl w:val="0"/>
          <w:numId w:val="138"/>
        </w:numPr>
        <w:spacing w:before="60" w:after="60"/>
        <w:ind w:left="1260" w:hanging="720"/>
        <w:jc w:val="both"/>
        <w:rPr>
          <w:sz w:val="22"/>
          <w:szCs w:val="22"/>
          <w:lang w:val="es-ES"/>
        </w:rPr>
      </w:pPr>
      <w:r>
        <w:rPr>
          <w:sz w:val="22"/>
          <w:szCs w:val="22"/>
          <w:lang w:val="es-ES"/>
        </w:rPr>
        <w:t>Salvo que se indique otra cosa en las</w:t>
      </w:r>
      <w:r>
        <w:rPr>
          <w:b/>
          <w:sz w:val="22"/>
          <w:szCs w:val="22"/>
          <w:lang w:val="es-ES"/>
        </w:rPr>
        <w:t xml:space="preserve"> CEC,</w:t>
      </w:r>
      <w:r>
        <w:rPr>
          <w:sz w:val="22"/>
          <w:szCs w:val="22"/>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pPr>
        <w:numPr>
          <w:ilvl w:val="0"/>
          <w:numId w:val="138"/>
        </w:numPr>
        <w:spacing w:before="60" w:after="60"/>
        <w:ind w:left="1260" w:hanging="720"/>
        <w:jc w:val="both"/>
        <w:rPr>
          <w:sz w:val="22"/>
          <w:szCs w:val="22"/>
          <w:lang w:val="es-ES"/>
        </w:rPr>
      </w:pPr>
      <w:r>
        <w:rPr>
          <w:sz w:val="22"/>
          <w:szCs w:val="22"/>
          <w:lang w:val="es-ES"/>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pPr>
        <w:numPr>
          <w:ilvl w:val="0"/>
          <w:numId w:val="138"/>
        </w:numPr>
        <w:spacing w:before="60" w:after="60"/>
        <w:ind w:left="1260" w:hanging="720"/>
        <w:jc w:val="both"/>
        <w:rPr>
          <w:sz w:val="22"/>
          <w:szCs w:val="22"/>
          <w:lang w:val="es-ES"/>
        </w:rPr>
      </w:pPr>
      <w:r>
        <w:rPr>
          <w:sz w:val="22"/>
          <w:szCs w:val="22"/>
          <w:lang w:val="es-ES"/>
        </w:rPr>
        <w:t xml:space="preserve">Tan pronto reciba el Proveedor dicha comunicación, y dentro del plazo establecido en las CEC, deberá reparar o reemplazar los Bienes defectuosos, o sus partes sin ningún costo para el Comprador. </w:t>
      </w:r>
    </w:p>
    <w:p>
      <w:pPr>
        <w:numPr>
          <w:ilvl w:val="0"/>
          <w:numId w:val="138"/>
        </w:numPr>
        <w:spacing w:before="60" w:after="60"/>
        <w:ind w:left="1260" w:hanging="720"/>
        <w:jc w:val="both"/>
        <w:rPr>
          <w:sz w:val="22"/>
          <w:szCs w:val="22"/>
          <w:lang w:val="es-ES"/>
        </w:rPr>
      </w:pPr>
      <w:r>
        <w:rPr>
          <w:sz w:val="22"/>
          <w:szCs w:val="22"/>
          <w:lang w:val="es-ES"/>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pPr>
        <w:pStyle w:val="CGCONTRATO"/>
        <w:rPr>
          <w:rFonts w:ascii="Times New Roman" w:hAnsi="Times New Roman"/>
        </w:rPr>
      </w:pPr>
      <w:bookmarkStart w:id="792" w:name="_Toc106188588"/>
      <w:bookmarkStart w:id="793" w:name="_Toc403379169"/>
      <w:r>
        <w:rPr>
          <w:rFonts w:ascii="Times New Roman" w:hAnsi="Times New Roman"/>
        </w:rPr>
        <w:lastRenderedPageBreak/>
        <w:t>Indemnización por Derechos de Patente</w:t>
      </w:r>
      <w:bookmarkEnd w:id="792"/>
      <w:bookmarkEnd w:id="793"/>
    </w:p>
    <w:p>
      <w:pPr>
        <w:numPr>
          <w:ilvl w:val="0"/>
          <w:numId w:val="139"/>
        </w:numPr>
        <w:spacing w:before="60" w:after="60"/>
        <w:ind w:left="1260" w:hanging="720"/>
        <w:jc w:val="both"/>
        <w:rPr>
          <w:b/>
          <w:sz w:val="22"/>
          <w:szCs w:val="22"/>
          <w:lang w:val="es-ES"/>
        </w:rPr>
      </w:pPr>
      <w:r>
        <w:rPr>
          <w:sz w:val="22"/>
          <w:szCs w:val="22"/>
          <w:lang w:val="es-ES"/>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pPr>
        <w:numPr>
          <w:ilvl w:val="0"/>
          <w:numId w:val="147"/>
        </w:numPr>
        <w:spacing w:before="60" w:after="60"/>
        <w:ind w:left="1620"/>
        <w:jc w:val="both"/>
        <w:rPr>
          <w:sz w:val="22"/>
          <w:szCs w:val="22"/>
          <w:lang w:val="es-ES"/>
        </w:rPr>
      </w:pPr>
      <w:r>
        <w:rPr>
          <w:sz w:val="22"/>
          <w:szCs w:val="22"/>
          <w:lang w:val="es-ES"/>
        </w:rPr>
        <w:t xml:space="preserve">la instalación de los bienes por el Proveedor o el uso de los bienes en el País donde está el lugar del proyecto; y </w:t>
      </w:r>
    </w:p>
    <w:p>
      <w:pPr>
        <w:numPr>
          <w:ilvl w:val="0"/>
          <w:numId w:val="147"/>
        </w:numPr>
        <w:spacing w:before="60" w:after="60"/>
        <w:ind w:left="1620"/>
        <w:jc w:val="both"/>
        <w:rPr>
          <w:sz w:val="22"/>
          <w:szCs w:val="22"/>
          <w:lang w:val="es-ES"/>
        </w:rPr>
      </w:pPr>
      <w:r>
        <w:rPr>
          <w:sz w:val="22"/>
          <w:szCs w:val="22"/>
          <w:lang w:val="es-ES"/>
        </w:rPr>
        <w:t>la venta de los productos producidos por los Bienes en cualquier país.</w:t>
      </w:r>
    </w:p>
    <w:p>
      <w:pPr>
        <w:spacing w:before="60" w:after="60"/>
        <w:ind w:left="1260"/>
        <w:jc w:val="both"/>
        <w:rPr>
          <w:sz w:val="22"/>
          <w:szCs w:val="22"/>
          <w:lang w:val="es-ES"/>
        </w:rPr>
      </w:pPr>
      <w:r>
        <w:rPr>
          <w:sz w:val="22"/>
          <w:szCs w:val="22"/>
          <w:lang w:val="es-ES"/>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p>
    <w:p>
      <w:pPr>
        <w:numPr>
          <w:ilvl w:val="0"/>
          <w:numId w:val="139"/>
        </w:numPr>
        <w:spacing w:before="60" w:after="60"/>
        <w:ind w:left="1260" w:hanging="720"/>
        <w:jc w:val="both"/>
        <w:rPr>
          <w:sz w:val="22"/>
          <w:szCs w:val="22"/>
          <w:lang w:val="es-ES"/>
        </w:rPr>
      </w:pPr>
      <w:r>
        <w:rPr>
          <w:sz w:val="22"/>
          <w:szCs w:val="22"/>
          <w:lang w:val="es-ES"/>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pPr>
        <w:numPr>
          <w:ilvl w:val="0"/>
          <w:numId w:val="139"/>
        </w:numPr>
        <w:spacing w:before="60" w:after="60"/>
        <w:ind w:left="1260" w:hanging="720"/>
        <w:jc w:val="both"/>
        <w:rPr>
          <w:sz w:val="22"/>
          <w:szCs w:val="22"/>
          <w:lang w:val="es-ES"/>
        </w:rPr>
      </w:pPr>
      <w:r>
        <w:rPr>
          <w:sz w:val="22"/>
          <w:szCs w:val="22"/>
          <w:lang w:val="es-ES"/>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pPr>
        <w:numPr>
          <w:ilvl w:val="0"/>
          <w:numId w:val="139"/>
        </w:numPr>
        <w:spacing w:before="60" w:after="60"/>
        <w:ind w:left="1260" w:hanging="720"/>
        <w:jc w:val="both"/>
        <w:rPr>
          <w:sz w:val="22"/>
          <w:szCs w:val="22"/>
          <w:lang w:val="es-ES"/>
        </w:rPr>
      </w:pPr>
      <w:r>
        <w:rPr>
          <w:sz w:val="22"/>
          <w:szCs w:val="22"/>
          <w:lang w:val="es-ES"/>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pPr>
        <w:numPr>
          <w:ilvl w:val="0"/>
          <w:numId w:val="139"/>
        </w:numPr>
        <w:spacing w:before="60" w:after="60"/>
        <w:ind w:left="1260" w:hanging="720"/>
        <w:jc w:val="both"/>
        <w:rPr>
          <w:sz w:val="22"/>
          <w:szCs w:val="22"/>
          <w:lang w:val="es-ES"/>
        </w:rPr>
      </w:pPr>
      <w:r>
        <w:rPr>
          <w:sz w:val="22"/>
          <w:szCs w:val="22"/>
          <w:lang w:val="es-ES"/>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pPr>
        <w:pStyle w:val="CGCONTRATO"/>
        <w:rPr>
          <w:rFonts w:ascii="Times New Roman" w:hAnsi="Times New Roman"/>
        </w:rPr>
      </w:pPr>
      <w:bookmarkStart w:id="794" w:name="_Toc106188589"/>
      <w:bookmarkStart w:id="795" w:name="_Toc403379170"/>
      <w:r>
        <w:rPr>
          <w:rFonts w:ascii="Times New Roman" w:hAnsi="Times New Roman"/>
        </w:rPr>
        <w:t>Limitación de Responsabilidad</w:t>
      </w:r>
      <w:bookmarkEnd w:id="794"/>
      <w:bookmarkEnd w:id="795"/>
    </w:p>
    <w:p>
      <w:pPr>
        <w:numPr>
          <w:ilvl w:val="0"/>
          <w:numId w:val="140"/>
        </w:numPr>
        <w:spacing w:before="60" w:after="60"/>
        <w:ind w:left="1260" w:hanging="720"/>
        <w:jc w:val="both"/>
        <w:rPr>
          <w:b/>
          <w:sz w:val="22"/>
          <w:szCs w:val="22"/>
          <w:lang w:val="es-ES"/>
        </w:rPr>
      </w:pPr>
      <w:r>
        <w:rPr>
          <w:sz w:val="22"/>
          <w:szCs w:val="22"/>
          <w:lang w:val="es-ES"/>
        </w:rPr>
        <w:t>Excepto en casos de negligencia criminal o de malversación,</w:t>
      </w:r>
    </w:p>
    <w:p>
      <w:pPr>
        <w:numPr>
          <w:ilvl w:val="0"/>
          <w:numId w:val="148"/>
        </w:numPr>
        <w:spacing w:before="60" w:after="60"/>
        <w:ind w:left="1620"/>
        <w:jc w:val="both"/>
        <w:rPr>
          <w:sz w:val="22"/>
          <w:szCs w:val="22"/>
          <w:lang w:val="es-ES"/>
        </w:rPr>
      </w:pPr>
      <w:r>
        <w:rPr>
          <w:sz w:val="22"/>
          <w:szCs w:val="22"/>
          <w:lang w:val="es-ES"/>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pPr>
        <w:numPr>
          <w:ilvl w:val="0"/>
          <w:numId w:val="148"/>
        </w:numPr>
        <w:spacing w:before="60" w:after="60"/>
        <w:ind w:left="1620"/>
        <w:jc w:val="both"/>
        <w:rPr>
          <w:sz w:val="22"/>
          <w:szCs w:val="22"/>
          <w:lang w:val="es-ES"/>
        </w:rPr>
      </w:pPr>
      <w:r>
        <w:rPr>
          <w:sz w:val="22"/>
          <w:szCs w:val="22"/>
          <w:lang w:val="es-ES"/>
        </w:rPr>
        <w:t xml:space="preserve">la responsabilidad total del Proveedor frente al Comprador, ya sea contractual, de agravio o de otra índole, no podrá exceder el Precio del Contrato, entendiéndose que tal limitación de responsabilidad no se aplicará a los costos provenientes de la </w:t>
      </w:r>
      <w:r>
        <w:rPr>
          <w:sz w:val="22"/>
          <w:szCs w:val="22"/>
          <w:lang w:val="es-ES"/>
        </w:rPr>
        <w:lastRenderedPageBreak/>
        <w:t>reparación o reemplazo de equipo defectuoso, ni afecta la obligación del Proveedor de indemnizar al Comprador por transgresiones de patente.</w:t>
      </w:r>
    </w:p>
    <w:p>
      <w:pPr>
        <w:pStyle w:val="CGCONTRATO"/>
        <w:rPr>
          <w:rFonts w:ascii="Times New Roman" w:hAnsi="Times New Roman"/>
        </w:rPr>
      </w:pPr>
      <w:bookmarkStart w:id="796" w:name="_Toc106188590"/>
      <w:bookmarkStart w:id="797" w:name="_Toc403379171"/>
      <w:r>
        <w:rPr>
          <w:rFonts w:ascii="Times New Roman" w:hAnsi="Times New Roman"/>
        </w:rPr>
        <w:t>Cambio en las Leyes y Regulaciones</w:t>
      </w:r>
      <w:bookmarkEnd w:id="796"/>
      <w:bookmarkEnd w:id="797"/>
    </w:p>
    <w:p>
      <w:pPr>
        <w:numPr>
          <w:ilvl w:val="0"/>
          <w:numId w:val="141"/>
        </w:numPr>
        <w:spacing w:before="60" w:after="60"/>
        <w:ind w:left="1260" w:hanging="720"/>
        <w:jc w:val="both"/>
        <w:rPr>
          <w:b/>
          <w:sz w:val="22"/>
          <w:szCs w:val="22"/>
          <w:lang w:val="es-ES"/>
        </w:rPr>
      </w:pPr>
      <w:r>
        <w:rPr>
          <w:sz w:val="22"/>
          <w:szCs w:val="22"/>
          <w:lang w:val="es-ES"/>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p>
    <w:p>
      <w:pPr>
        <w:pStyle w:val="CGCONTRATO"/>
        <w:rPr>
          <w:rFonts w:ascii="Times New Roman" w:hAnsi="Times New Roman"/>
        </w:rPr>
      </w:pPr>
      <w:bookmarkStart w:id="798" w:name="_Toc106188591"/>
      <w:bookmarkStart w:id="799" w:name="_Toc403379172"/>
      <w:r>
        <w:rPr>
          <w:rFonts w:ascii="Times New Roman" w:hAnsi="Times New Roman"/>
        </w:rPr>
        <w:t>Fuerza Mayor</w:t>
      </w:r>
      <w:bookmarkEnd w:id="798"/>
      <w:bookmarkEnd w:id="799"/>
    </w:p>
    <w:p>
      <w:pPr>
        <w:numPr>
          <w:ilvl w:val="0"/>
          <w:numId w:val="142"/>
        </w:numPr>
        <w:spacing w:before="60" w:after="60"/>
        <w:ind w:left="1260" w:hanging="720"/>
        <w:jc w:val="both"/>
        <w:rPr>
          <w:sz w:val="22"/>
          <w:szCs w:val="22"/>
          <w:lang w:val="es-ES"/>
        </w:rPr>
      </w:pPr>
      <w:r>
        <w:rPr>
          <w:sz w:val="22"/>
          <w:szCs w:val="22"/>
          <w:lang w:val="es-ES"/>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pPr>
        <w:numPr>
          <w:ilvl w:val="0"/>
          <w:numId w:val="142"/>
        </w:numPr>
        <w:spacing w:before="60" w:after="60"/>
        <w:ind w:left="1260" w:hanging="720"/>
        <w:jc w:val="both"/>
        <w:rPr>
          <w:sz w:val="22"/>
          <w:szCs w:val="22"/>
          <w:lang w:val="es-ES"/>
        </w:rPr>
      </w:pPr>
      <w:r>
        <w:rPr>
          <w:sz w:val="22"/>
          <w:szCs w:val="22"/>
          <w:lang w:val="es-ES"/>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pPr>
        <w:numPr>
          <w:ilvl w:val="0"/>
          <w:numId w:val="142"/>
        </w:numPr>
        <w:spacing w:before="60" w:after="60"/>
        <w:ind w:left="1260" w:hanging="720"/>
        <w:jc w:val="both"/>
        <w:rPr>
          <w:sz w:val="22"/>
          <w:szCs w:val="22"/>
          <w:lang w:val="es-ES"/>
        </w:rPr>
      </w:pPr>
      <w:r>
        <w:rPr>
          <w:sz w:val="22"/>
          <w:szCs w:val="22"/>
          <w:lang w:val="es-ES"/>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pPr>
        <w:pStyle w:val="CGCONTRATO"/>
        <w:rPr>
          <w:rFonts w:ascii="Times New Roman" w:hAnsi="Times New Roman"/>
        </w:rPr>
      </w:pPr>
      <w:bookmarkStart w:id="800" w:name="_Toc106188592"/>
      <w:bookmarkStart w:id="801" w:name="_Toc403379173"/>
      <w:r>
        <w:rPr>
          <w:rFonts w:ascii="Times New Roman" w:hAnsi="Times New Roman"/>
        </w:rPr>
        <w:t>Ordenes de Cambio y Enmiendas al Contrato</w:t>
      </w:r>
      <w:bookmarkEnd w:id="800"/>
      <w:bookmarkEnd w:id="801"/>
    </w:p>
    <w:p>
      <w:pPr>
        <w:numPr>
          <w:ilvl w:val="0"/>
          <w:numId w:val="143"/>
        </w:numPr>
        <w:spacing w:before="60" w:after="60"/>
        <w:ind w:left="1260" w:hanging="720"/>
        <w:jc w:val="both"/>
        <w:rPr>
          <w:sz w:val="22"/>
          <w:szCs w:val="22"/>
          <w:lang w:val="es-ES"/>
        </w:rPr>
      </w:pPr>
      <w:r>
        <w:rPr>
          <w:sz w:val="22"/>
          <w:szCs w:val="22"/>
          <w:lang w:val="es-ES"/>
        </w:rPr>
        <w:t>El Comprador podrá, en cualquier momento, efectuar cambios dentro del marco general del Contrato, mediante orden escrita al Proveedor de acuerdo con la Cláusula 8 de las CGC, en uno o más de los siguientes aspectos:</w:t>
      </w:r>
    </w:p>
    <w:p>
      <w:pPr>
        <w:numPr>
          <w:ilvl w:val="0"/>
          <w:numId w:val="149"/>
        </w:numPr>
        <w:spacing w:before="60" w:after="60"/>
        <w:ind w:left="1620"/>
        <w:jc w:val="both"/>
        <w:rPr>
          <w:sz w:val="22"/>
          <w:szCs w:val="22"/>
          <w:lang w:val="es-ES"/>
        </w:rPr>
      </w:pPr>
      <w:r>
        <w:rPr>
          <w:sz w:val="22"/>
          <w:szCs w:val="22"/>
          <w:lang w:val="es-ES"/>
        </w:rPr>
        <w:t>planos, diseños o especificaciones, cuando los Bienes que deban suministrarse en virtud al Contrato deban ser fabricados específicamente para el Comprador;</w:t>
      </w:r>
    </w:p>
    <w:p>
      <w:pPr>
        <w:numPr>
          <w:ilvl w:val="0"/>
          <w:numId w:val="149"/>
        </w:numPr>
        <w:spacing w:before="60" w:after="60"/>
        <w:ind w:left="1620"/>
        <w:jc w:val="both"/>
        <w:rPr>
          <w:sz w:val="22"/>
          <w:szCs w:val="22"/>
          <w:lang w:val="es-ES"/>
        </w:rPr>
      </w:pPr>
      <w:r>
        <w:rPr>
          <w:sz w:val="22"/>
          <w:szCs w:val="22"/>
          <w:lang w:val="es-ES"/>
        </w:rPr>
        <w:t>la forma de embarque o de embalaje;</w:t>
      </w:r>
    </w:p>
    <w:p>
      <w:pPr>
        <w:numPr>
          <w:ilvl w:val="0"/>
          <w:numId w:val="149"/>
        </w:numPr>
        <w:spacing w:before="60" w:after="60"/>
        <w:ind w:left="1620"/>
        <w:jc w:val="both"/>
        <w:rPr>
          <w:sz w:val="22"/>
          <w:szCs w:val="22"/>
          <w:lang w:val="es-ES"/>
        </w:rPr>
      </w:pPr>
      <w:r>
        <w:rPr>
          <w:sz w:val="22"/>
          <w:szCs w:val="22"/>
          <w:lang w:val="es-ES"/>
        </w:rPr>
        <w:t xml:space="preserve">el lugar de entrega, y/o </w:t>
      </w:r>
    </w:p>
    <w:p>
      <w:pPr>
        <w:numPr>
          <w:ilvl w:val="0"/>
          <w:numId w:val="149"/>
        </w:numPr>
        <w:spacing w:before="60" w:after="60"/>
        <w:ind w:left="1620"/>
        <w:jc w:val="both"/>
        <w:rPr>
          <w:sz w:val="22"/>
          <w:szCs w:val="22"/>
          <w:lang w:val="es-ES"/>
        </w:rPr>
      </w:pPr>
      <w:r>
        <w:rPr>
          <w:sz w:val="22"/>
          <w:szCs w:val="22"/>
          <w:lang w:val="es-ES"/>
        </w:rPr>
        <w:t>los Servicios Conexos que deba suministrar el Proveedor.</w:t>
      </w:r>
    </w:p>
    <w:p>
      <w:pPr>
        <w:numPr>
          <w:ilvl w:val="0"/>
          <w:numId w:val="143"/>
        </w:numPr>
        <w:spacing w:before="60" w:after="60"/>
        <w:ind w:left="1260" w:hanging="720"/>
        <w:jc w:val="both"/>
        <w:rPr>
          <w:sz w:val="22"/>
          <w:szCs w:val="22"/>
          <w:lang w:val="es-ES"/>
        </w:rPr>
      </w:pPr>
      <w:r>
        <w:rPr>
          <w:sz w:val="22"/>
          <w:szCs w:val="22"/>
          <w:lang w:val="es-ES"/>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pPr>
        <w:numPr>
          <w:ilvl w:val="0"/>
          <w:numId w:val="143"/>
        </w:numPr>
        <w:spacing w:before="60" w:after="60"/>
        <w:ind w:left="1260" w:hanging="720"/>
        <w:jc w:val="both"/>
        <w:rPr>
          <w:sz w:val="22"/>
          <w:szCs w:val="22"/>
          <w:lang w:val="es-ES"/>
        </w:rPr>
      </w:pPr>
      <w:r>
        <w:rPr>
          <w:sz w:val="22"/>
          <w:szCs w:val="22"/>
          <w:lang w:val="es-ES"/>
        </w:rPr>
        <w:t xml:space="preserve">Los precios que cobrará el Proveedor por Servicios Conexos que pudieran ser necesarios pero que no fueron incluidos en el Contrato, deberán convenirse previamente entre las </w:t>
      </w:r>
      <w:r>
        <w:rPr>
          <w:sz w:val="22"/>
          <w:szCs w:val="22"/>
          <w:lang w:val="es-ES"/>
        </w:rPr>
        <w:lastRenderedPageBreak/>
        <w:t>partes, y no excederán los precios que el Proveedor cobra actualmente a terceros por servicios similares.</w:t>
      </w:r>
    </w:p>
    <w:p>
      <w:pPr>
        <w:numPr>
          <w:ilvl w:val="0"/>
          <w:numId w:val="143"/>
        </w:numPr>
        <w:spacing w:before="60" w:after="60"/>
        <w:ind w:left="1260" w:hanging="720"/>
        <w:jc w:val="both"/>
        <w:rPr>
          <w:sz w:val="22"/>
          <w:szCs w:val="22"/>
          <w:lang w:val="es-ES"/>
        </w:rPr>
      </w:pPr>
      <w:r>
        <w:rPr>
          <w:sz w:val="22"/>
          <w:szCs w:val="22"/>
          <w:lang w:val="es-ES"/>
        </w:rPr>
        <w:t>Sujeto a lo anterior, no se introducirá ningún cambio o modificación al Contrato excepto mediante una enmienda por escrito ejecutada por ambas partes.</w:t>
      </w:r>
    </w:p>
    <w:p>
      <w:pPr>
        <w:pStyle w:val="CGCONTRATO"/>
        <w:rPr>
          <w:rFonts w:ascii="Times New Roman" w:hAnsi="Times New Roman"/>
        </w:rPr>
      </w:pPr>
      <w:bookmarkStart w:id="802" w:name="_Toc106188593"/>
      <w:bookmarkStart w:id="803" w:name="_Toc403379174"/>
      <w:r>
        <w:rPr>
          <w:rFonts w:ascii="Times New Roman" w:hAnsi="Times New Roman"/>
        </w:rPr>
        <w:t>Prórroga de los Plazos</w:t>
      </w:r>
      <w:bookmarkEnd w:id="802"/>
      <w:bookmarkEnd w:id="803"/>
      <w:r>
        <w:rPr>
          <w:rFonts w:ascii="Times New Roman" w:hAnsi="Times New Roman"/>
        </w:rPr>
        <w:t xml:space="preserve"> </w:t>
      </w:r>
    </w:p>
    <w:p>
      <w:pPr>
        <w:numPr>
          <w:ilvl w:val="0"/>
          <w:numId w:val="150"/>
        </w:numPr>
        <w:spacing w:before="60" w:after="60"/>
        <w:ind w:left="1260" w:hanging="720"/>
        <w:jc w:val="both"/>
        <w:rPr>
          <w:sz w:val="22"/>
          <w:szCs w:val="22"/>
          <w:lang w:val="es-ES"/>
        </w:rPr>
      </w:pPr>
      <w:r>
        <w:rPr>
          <w:sz w:val="22"/>
          <w:szCs w:val="22"/>
          <w:lang w:val="es-ES"/>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pPr>
        <w:numPr>
          <w:ilvl w:val="0"/>
          <w:numId w:val="150"/>
        </w:numPr>
        <w:spacing w:before="60" w:after="60"/>
        <w:ind w:left="1260" w:hanging="720"/>
        <w:jc w:val="both"/>
        <w:rPr>
          <w:sz w:val="22"/>
          <w:szCs w:val="22"/>
          <w:lang w:val="es-ES"/>
        </w:rPr>
      </w:pPr>
      <w:r>
        <w:rPr>
          <w:sz w:val="22"/>
          <w:szCs w:val="22"/>
          <w:lang w:val="es-ES"/>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p>
    <w:p>
      <w:pPr>
        <w:pStyle w:val="CGCONTRATO"/>
        <w:rPr>
          <w:rFonts w:ascii="Times New Roman" w:hAnsi="Times New Roman"/>
        </w:rPr>
      </w:pPr>
      <w:bookmarkStart w:id="804" w:name="_Toc403379175"/>
      <w:r>
        <w:rPr>
          <w:rFonts w:ascii="Times New Roman" w:hAnsi="Times New Roman"/>
        </w:rPr>
        <w:t>Terminación</w:t>
      </w:r>
      <w:bookmarkEnd w:id="804"/>
    </w:p>
    <w:p>
      <w:pPr>
        <w:numPr>
          <w:ilvl w:val="0"/>
          <w:numId w:val="151"/>
        </w:numPr>
        <w:spacing w:before="60" w:after="60"/>
        <w:ind w:left="1260" w:hanging="720"/>
        <w:jc w:val="both"/>
        <w:rPr>
          <w:sz w:val="22"/>
          <w:szCs w:val="22"/>
          <w:lang w:val="es-ES"/>
        </w:rPr>
      </w:pPr>
      <w:r>
        <w:rPr>
          <w:sz w:val="22"/>
          <w:szCs w:val="22"/>
          <w:lang w:val="es-ES"/>
        </w:rPr>
        <w:t>Terminación por Incumplimiento</w:t>
      </w:r>
    </w:p>
    <w:p>
      <w:pPr>
        <w:numPr>
          <w:ilvl w:val="0"/>
          <w:numId w:val="154"/>
        </w:numPr>
        <w:spacing w:before="60" w:after="60"/>
        <w:ind w:left="1620"/>
        <w:jc w:val="both"/>
        <w:rPr>
          <w:sz w:val="22"/>
          <w:szCs w:val="22"/>
          <w:lang w:val="es-ES"/>
        </w:rPr>
      </w:pPr>
      <w:r>
        <w:rPr>
          <w:sz w:val="22"/>
          <w:szCs w:val="22"/>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pPr>
        <w:pStyle w:val="Sub-ClauseText"/>
        <w:widowControl w:val="0"/>
        <w:numPr>
          <w:ilvl w:val="0"/>
          <w:numId w:val="155"/>
        </w:numPr>
        <w:tabs>
          <w:tab w:val="clear" w:pos="1440"/>
        </w:tabs>
        <w:overflowPunct/>
        <w:autoSpaceDE/>
        <w:autoSpaceDN/>
        <w:adjustRightInd/>
        <w:spacing w:before="60" w:after="60"/>
        <w:ind w:left="1980"/>
        <w:textAlignment w:val="auto"/>
        <w:rPr>
          <w:sz w:val="22"/>
          <w:szCs w:val="22"/>
          <w:lang w:val="es-ES"/>
        </w:rPr>
      </w:pPr>
      <w:r>
        <w:rPr>
          <w:sz w:val="22"/>
          <w:szCs w:val="22"/>
          <w:lang w:val="es-ES"/>
        </w:rPr>
        <w:t xml:space="preserve">si el Proveedor no entrega parte o ninguno de los Bienes dentro del período establecido en el Contrato, o dentro de alguna prórroga otorgada por el Comprador de conformidad con la Cláusula 34 de las CGC; o </w:t>
      </w:r>
    </w:p>
    <w:p>
      <w:pPr>
        <w:pStyle w:val="Sub-ClauseText"/>
        <w:widowControl w:val="0"/>
        <w:numPr>
          <w:ilvl w:val="0"/>
          <w:numId w:val="155"/>
        </w:numPr>
        <w:tabs>
          <w:tab w:val="clear" w:pos="1440"/>
        </w:tabs>
        <w:overflowPunct/>
        <w:autoSpaceDE/>
        <w:autoSpaceDN/>
        <w:adjustRightInd/>
        <w:spacing w:before="60" w:after="60"/>
        <w:ind w:left="1980"/>
        <w:textAlignment w:val="auto"/>
        <w:rPr>
          <w:sz w:val="22"/>
          <w:szCs w:val="22"/>
          <w:lang w:val="es-ES"/>
        </w:rPr>
      </w:pPr>
      <w:r>
        <w:rPr>
          <w:sz w:val="22"/>
          <w:szCs w:val="22"/>
          <w:lang w:val="es-ES"/>
        </w:rPr>
        <w:t>Si el Proveedor no cumple con cualquier otra obligación en virtud del Contrato; o</w:t>
      </w:r>
    </w:p>
    <w:p>
      <w:pPr>
        <w:pStyle w:val="Sub-ClauseText"/>
        <w:widowControl w:val="0"/>
        <w:numPr>
          <w:ilvl w:val="0"/>
          <w:numId w:val="155"/>
        </w:numPr>
        <w:tabs>
          <w:tab w:val="clear" w:pos="1440"/>
        </w:tabs>
        <w:overflowPunct/>
        <w:autoSpaceDE/>
        <w:autoSpaceDN/>
        <w:adjustRightInd/>
        <w:spacing w:before="60" w:after="60"/>
        <w:ind w:left="1980"/>
        <w:textAlignment w:val="auto"/>
        <w:rPr>
          <w:sz w:val="22"/>
          <w:szCs w:val="22"/>
          <w:lang w:val="es-ES"/>
        </w:rPr>
      </w:pPr>
      <w:r>
        <w:rPr>
          <w:sz w:val="22"/>
          <w:szCs w:val="22"/>
          <w:lang w:val="es-ES"/>
        </w:rPr>
        <w:t>Si el Proveedor, a juicio del Comprador, durante el proceso de licitación o de ejecución del Contrato, ha participado en prácticas prohibidas, según se define en la Cláusula 3 de las CGC.</w:t>
      </w:r>
    </w:p>
    <w:p>
      <w:pPr>
        <w:numPr>
          <w:ilvl w:val="0"/>
          <w:numId w:val="154"/>
        </w:numPr>
        <w:spacing w:before="60" w:after="60"/>
        <w:ind w:left="1620"/>
        <w:jc w:val="both"/>
        <w:rPr>
          <w:sz w:val="22"/>
          <w:szCs w:val="22"/>
          <w:lang w:val="es-ES"/>
        </w:rPr>
      </w:pPr>
      <w:r>
        <w:rPr>
          <w:sz w:val="22"/>
          <w:szCs w:val="22"/>
          <w:lang w:val="es-ES"/>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pPr>
        <w:numPr>
          <w:ilvl w:val="0"/>
          <w:numId w:val="151"/>
        </w:numPr>
        <w:spacing w:before="60" w:after="60"/>
        <w:ind w:left="1260" w:hanging="720"/>
        <w:jc w:val="both"/>
        <w:rPr>
          <w:sz w:val="22"/>
          <w:szCs w:val="22"/>
          <w:lang w:val="es-ES"/>
        </w:rPr>
      </w:pPr>
      <w:r>
        <w:rPr>
          <w:sz w:val="22"/>
          <w:szCs w:val="22"/>
          <w:lang w:val="es-ES"/>
        </w:rPr>
        <w:t>Terminación por Insolvencia</w:t>
      </w:r>
    </w:p>
    <w:p>
      <w:pPr>
        <w:numPr>
          <w:ilvl w:val="0"/>
          <w:numId w:val="156"/>
        </w:numPr>
        <w:spacing w:before="60" w:after="60"/>
        <w:ind w:left="1620"/>
        <w:jc w:val="both"/>
        <w:rPr>
          <w:sz w:val="22"/>
          <w:szCs w:val="22"/>
          <w:lang w:val="es-ES"/>
        </w:rPr>
      </w:pPr>
      <w:r>
        <w:rPr>
          <w:sz w:val="22"/>
          <w:szCs w:val="22"/>
          <w:lang w:val="es-ES"/>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pPr>
        <w:numPr>
          <w:ilvl w:val="0"/>
          <w:numId w:val="151"/>
        </w:numPr>
        <w:spacing w:before="60" w:after="60"/>
        <w:ind w:left="1260" w:hanging="720"/>
        <w:jc w:val="both"/>
        <w:rPr>
          <w:sz w:val="22"/>
          <w:szCs w:val="22"/>
          <w:lang w:val="es-ES"/>
        </w:rPr>
      </w:pPr>
      <w:r>
        <w:rPr>
          <w:sz w:val="22"/>
          <w:szCs w:val="22"/>
          <w:lang w:val="es-ES"/>
        </w:rPr>
        <w:t>Terminación por Conveniencia</w:t>
      </w:r>
    </w:p>
    <w:p>
      <w:pPr>
        <w:numPr>
          <w:ilvl w:val="0"/>
          <w:numId w:val="157"/>
        </w:numPr>
        <w:spacing w:before="60" w:after="60"/>
        <w:ind w:left="1620"/>
        <w:jc w:val="both"/>
        <w:rPr>
          <w:sz w:val="22"/>
          <w:szCs w:val="22"/>
          <w:lang w:val="es-ES"/>
        </w:rPr>
      </w:pPr>
      <w:r>
        <w:rPr>
          <w:sz w:val="22"/>
          <w:szCs w:val="22"/>
          <w:lang w:val="es-ES"/>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pPr>
        <w:numPr>
          <w:ilvl w:val="0"/>
          <w:numId w:val="157"/>
        </w:numPr>
        <w:spacing w:before="60" w:after="60"/>
        <w:ind w:left="1620"/>
        <w:jc w:val="both"/>
        <w:rPr>
          <w:sz w:val="22"/>
          <w:szCs w:val="22"/>
          <w:lang w:val="es-ES"/>
        </w:rPr>
      </w:pPr>
      <w:r>
        <w:rPr>
          <w:sz w:val="22"/>
          <w:szCs w:val="22"/>
          <w:lang w:val="es-ES"/>
        </w:rPr>
        <w:lastRenderedPageBreak/>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pPr>
        <w:pStyle w:val="Sub-ClauseText"/>
        <w:widowControl w:val="0"/>
        <w:numPr>
          <w:ilvl w:val="0"/>
          <w:numId w:val="158"/>
        </w:numPr>
        <w:tabs>
          <w:tab w:val="clear" w:pos="1440"/>
        </w:tabs>
        <w:overflowPunct/>
        <w:autoSpaceDE/>
        <w:autoSpaceDN/>
        <w:adjustRightInd/>
        <w:spacing w:before="60" w:after="60"/>
        <w:ind w:left="1980"/>
        <w:textAlignment w:val="auto"/>
        <w:rPr>
          <w:sz w:val="22"/>
          <w:szCs w:val="22"/>
          <w:lang w:val="es-ES"/>
        </w:rPr>
      </w:pPr>
      <w:r>
        <w:rPr>
          <w:sz w:val="22"/>
          <w:szCs w:val="22"/>
          <w:lang w:val="es-ES"/>
        </w:rPr>
        <w:t>que se complete alguna porción y se entregue de acuerdo con las condiciones y precios del Contrato; y/o</w:t>
      </w:r>
    </w:p>
    <w:p>
      <w:pPr>
        <w:pStyle w:val="Sub-ClauseText"/>
        <w:widowControl w:val="0"/>
        <w:numPr>
          <w:ilvl w:val="0"/>
          <w:numId w:val="158"/>
        </w:numPr>
        <w:tabs>
          <w:tab w:val="clear" w:pos="1440"/>
        </w:tabs>
        <w:overflowPunct/>
        <w:autoSpaceDE/>
        <w:autoSpaceDN/>
        <w:adjustRightInd/>
        <w:spacing w:before="60" w:after="60"/>
        <w:ind w:left="1980"/>
        <w:textAlignment w:val="auto"/>
        <w:rPr>
          <w:sz w:val="22"/>
          <w:szCs w:val="22"/>
          <w:lang w:val="es-ES"/>
        </w:rPr>
      </w:pPr>
      <w:r>
        <w:rPr>
          <w:sz w:val="22"/>
          <w:szCs w:val="22"/>
          <w:lang w:val="es-ES"/>
        </w:rPr>
        <w:t>que se cancele el balance restante y se pague al Proveedor una suma convenida por aquellos Bienes o Servicios Conexos que hubiesen sido parcialmente completados y por los materiales y repuestos adquiridos previamente por el Proveedor.</w:t>
      </w:r>
    </w:p>
    <w:p>
      <w:pPr>
        <w:pStyle w:val="CGCONTRATO"/>
        <w:rPr>
          <w:rFonts w:ascii="Times New Roman" w:hAnsi="Times New Roman"/>
        </w:rPr>
      </w:pPr>
      <w:bookmarkStart w:id="805" w:name="_Toc403379176"/>
      <w:r>
        <w:rPr>
          <w:rFonts w:ascii="Times New Roman" w:hAnsi="Times New Roman"/>
        </w:rPr>
        <w:t>Cesión</w:t>
      </w:r>
      <w:bookmarkEnd w:id="805"/>
      <w:r>
        <w:rPr>
          <w:rFonts w:ascii="Times New Roman" w:hAnsi="Times New Roman"/>
        </w:rPr>
        <w:t xml:space="preserve"> </w:t>
      </w:r>
    </w:p>
    <w:p>
      <w:pPr>
        <w:numPr>
          <w:ilvl w:val="0"/>
          <w:numId w:val="152"/>
        </w:numPr>
        <w:spacing w:before="60" w:after="60"/>
        <w:ind w:left="1260" w:hanging="720"/>
        <w:jc w:val="both"/>
        <w:rPr>
          <w:sz w:val="22"/>
          <w:szCs w:val="22"/>
          <w:lang w:val="es-ES"/>
        </w:rPr>
      </w:pPr>
      <w:r>
        <w:rPr>
          <w:sz w:val="22"/>
          <w:szCs w:val="22"/>
          <w:lang w:val="es-ES"/>
        </w:rPr>
        <w:t>Ni el Comprador ni el Proveedor podrán ceder total o parcialmente las obligaciones que hubiesen contraído en virtud del Contrato, excepto con el previo consentimiento por escrito de la otra parte.</w:t>
      </w:r>
    </w:p>
    <w:p>
      <w:pPr>
        <w:pStyle w:val="CGCONTRATO"/>
        <w:rPr>
          <w:rFonts w:ascii="Times New Roman" w:hAnsi="Times New Roman"/>
        </w:rPr>
      </w:pPr>
      <w:bookmarkStart w:id="806" w:name="_Toc403379177"/>
      <w:r>
        <w:rPr>
          <w:rFonts w:ascii="Times New Roman" w:hAnsi="Times New Roman"/>
        </w:rPr>
        <w:t>Restricción a la Exportación</w:t>
      </w:r>
      <w:bookmarkEnd w:id="806"/>
    </w:p>
    <w:p>
      <w:pPr>
        <w:numPr>
          <w:ilvl w:val="0"/>
          <w:numId w:val="153"/>
        </w:numPr>
        <w:spacing w:before="60" w:after="60"/>
        <w:ind w:left="1260" w:hanging="720"/>
        <w:jc w:val="both"/>
        <w:rPr>
          <w:sz w:val="22"/>
          <w:szCs w:val="22"/>
          <w:lang w:val="es-ES"/>
        </w:rPr>
      </w:pPr>
      <w:r>
        <w:rPr>
          <w:sz w:val="22"/>
          <w:szCs w:val="22"/>
          <w:lang w:val="es-ES"/>
        </w:rPr>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p>
    <w:p>
      <w:pPr>
        <w:spacing w:before="60" w:after="60"/>
        <w:ind w:left="1260"/>
        <w:jc w:val="both"/>
        <w:rPr>
          <w:lang w:val="es-ES"/>
        </w:rPr>
        <w:sectPr>
          <w:headerReference w:type="default" r:id="rId49"/>
          <w:pgSz w:w="11906" w:h="16838" w:code="9"/>
          <w:pgMar w:top="1440" w:right="1440" w:bottom="1440" w:left="1440" w:header="720" w:footer="720" w:gutter="0"/>
          <w:cols w:space="720"/>
          <w:docGrid w:linePitch="360"/>
        </w:sectPr>
      </w:pPr>
    </w:p>
    <w:p>
      <w:pPr>
        <w:pStyle w:val="Secciones"/>
        <w:rPr>
          <w:rFonts w:ascii="Times New Roman" w:hAnsi="Times New Roman"/>
        </w:rPr>
      </w:pPr>
      <w:bookmarkStart w:id="807" w:name="_Toc175256930"/>
      <w:r>
        <w:rPr>
          <w:rFonts w:ascii="Times New Roman" w:hAnsi="Times New Roman"/>
        </w:rPr>
        <w:lastRenderedPageBreak/>
        <w:t>Sección VIII. Condiciones Especiales de Contrato</w:t>
      </w:r>
      <w:bookmarkEnd w:id="807"/>
    </w:p>
    <w:p>
      <w:pPr>
        <w:spacing w:before="60" w:after="60"/>
        <w:jc w:val="both"/>
        <w:rPr>
          <w:sz w:val="22"/>
          <w:szCs w:val="22"/>
          <w:lang w:val="es-ES"/>
        </w:rPr>
      </w:pPr>
      <w:r>
        <w:rPr>
          <w:sz w:val="22"/>
          <w:szCs w:val="22"/>
          <w:lang w:val="es-ES"/>
        </w:rPr>
        <w:t>Las siguientes Condiciones Especiales del Contrato (CEC) complementarán y/o enmendarán las Condiciones Generales del Contrato (CGC). En caso de haber conflicto, las provisiones aquí dispuestas prevalecerán sobre las de las CGC</w:t>
      </w:r>
      <w:r>
        <w:rPr>
          <w:i/>
          <w:iCs/>
          <w:sz w:val="22"/>
          <w:szCs w:val="22"/>
          <w:lang w:val="es-ES"/>
        </w:rPr>
        <w:t>.</w:t>
      </w:r>
    </w:p>
    <w:p>
      <w:pPr>
        <w:spacing w:before="60" w:after="60"/>
        <w:jc w:val="both"/>
        <w:rPr>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trPr>
          <w:cantSplit/>
        </w:trPr>
        <w:tc>
          <w:tcPr>
            <w:tcW w:w="1728" w:type="dxa"/>
            <w:tcBorders>
              <w:top w:val="single" w:sz="12" w:space="0" w:color="auto"/>
              <w:bottom w:val="single" w:sz="6" w:space="0" w:color="auto"/>
            </w:tcBorders>
          </w:tcPr>
          <w:p>
            <w:pPr>
              <w:spacing w:before="60" w:after="60"/>
              <w:rPr>
                <w:sz w:val="22"/>
                <w:szCs w:val="22"/>
                <w:lang w:val="es-ES"/>
              </w:rPr>
            </w:pPr>
            <w:r>
              <w:rPr>
                <w:sz w:val="22"/>
                <w:szCs w:val="22"/>
                <w:lang w:val="es-ES"/>
              </w:rPr>
              <w:t>CGC 1.1(i)</w:t>
            </w:r>
          </w:p>
        </w:tc>
        <w:tc>
          <w:tcPr>
            <w:tcW w:w="7380" w:type="dxa"/>
            <w:tcBorders>
              <w:top w:val="single" w:sz="12" w:space="0" w:color="auto"/>
              <w:bottom w:val="single" w:sz="6" w:space="0" w:color="auto"/>
            </w:tcBorders>
          </w:tcPr>
          <w:p>
            <w:pPr>
              <w:tabs>
                <w:tab w:val="right" w:pos="7164"/>
              </w:tabs>
              <w:spacing w:before="60" w:after="60"/>
              <w:rPr>
                <w:sz w:val="22"/>
                <w:szCs w:val="22"/>
                <w:lang w:val="es-ES"/>
              </w:rPr>
            </w:pPr>
            <w:r>
              <w:rPr>
                <w:b/>
                <w:sz w:val="22"/>
                <w:szCs w:val="22"/>
                <w:lang w:val="es-ES"/>
              </w:rPr>
              <w:t>El país del Comprador es</w:t>
            </w:r>
            <w:r>
              <w:rPr>
                <w:sz w:val="22"/>
                <w:szCs w:val="22"/>
                <w:lang w:val="es-ES"/>
              </w:rPr>
              <w:t xml:space="preserve">: </w:t>
            </w:r>
            <w:r>
              <w:rPr>
                <w:bCs/>
                <w:iCs/>
                <w:sz w:val="22"/>
                <w:szCs w:val="22"/>
                <w:lang w:val="es-ES"/>
              </w:rPr>
              <w:t>República del Ecuador</w:t>
            </w:r>
          </w:p>
        </w:tc>
      </w:tr>
      <w:tr>
        <w:trPr>
          <w:cantSplit/>
        </w:trPr>
        <w:tc>
          <w:tcPr>
            <w:tcW w:w="1728" w:type="dxa"/>
            <w:tcBorders>
              <w:top w:val="nil"/>
            </w:tcBorders>
          </w:tcPr>
          <w:p>
            <w:pPr>
              <w:spacing w:before="60" w:after="60"/>
              <w:rPr>
                <w:sz w:val="22"/>
                <w:szCs w:val="22"/>
                <w:lang w:val="es-ES"/>
              </w:rPr>
            </w:pPr>
            <w:r>
              <w:rPr>
                <w:sz w:val="22"/>
                <w:szCs w:val="22"/>
                <w:lang w:val="es-ES"/>
              </w:rPr>
              <w:t>CGC 1.1(j)</w:t>
            </w:r>
          </w:p>
        </w:tc>
        <w:tc>
          <w:tcPr>
            <w:tcW w:w="7380" w:type="dxa"/>
            <w:tcBorders>
              <w:top w:val="nil"/>
            </w:tcBorders>
          </w:tcPr>
          <w:p>
            <w:pPr>
              <w:tabs>
                <w:tab w:val="right" w:pos="7164"/>
              </w:tabs>
              <w:spacing w:before="60" w:after="60"/>
              <w:rPr>
                <w:sz w:val="22"/>
                <w:szCs w:val="22"/>
                <w:lang w:val="es-ES"/>
              </w:rPr>
            </w:pPr>
            <w:r>
              <w:rPr>
                <w:sz w:val="22"/>
                <w:szCs w:val="22"/>
                <w:lang w:val="es-ES"/>
              </w:rPr>
              <w:t xml:space="preserve">El comprador es: </w:t>
            </w:r>
            <w:r>
              <w:rPr>
                <w:rFonts w:eastAsia="Calibri"/>
                <w:spacing w:val="-3"/>
                <w:sz w:val="22"/>
                <w:szCs w:val="22"/>
              </w:rPr>
              <w:t>Procuraduría General del Estado</w:t>
            </w:r>
          </w:p>
        </w:tc>
      </w:tr>
      <w:tr>
        <w:trPr>
          <w:cantSplit/>
        </w:trPr>
        <w:tc>
          <w:tcPr>
            <w:tcW w:w="1728" w:type="dxa"/>
          </w:tcPr>
          <w:p>
            <w:pPr>
              <w:spacing w:before="60" w:after="60"/>
              <w:rPr>
                <w:sz w:val="22"/>
                <w:szCs w:val="22"/>
                <w:lang w:val="es-ES"/>
              </w:rPr>
            </w:pPr>
            <w:r>
              <w:rPr>
                <w:sz w:val="22"/>
                <w:szCs w:val="22"/>
                <w:lang w:val="es-ES"/>
              </w:rPr>
              <w:t>CGC 1.1 (o)</w:t>
            </w:r>
          </w:p>
        </w:tc>
        <w:tc>
          <w:tcPr>
            <w:tcW w:w="7380" w:type="dxa"/>
          </w:tcPr>
          <w:p>
            <w:pPr>
              <w:tabs>
                <w:tab w:val="right" w:pos="7164"/>
              </w:tabs>
              <w:spacing w:before="60" w:after="60"/>
              <w:jc w:val="both"/>
              <w:rPr>
                <w:sz w:val="22"/>
                <w:szCs w:val="22"/>
                <w:lang w:val="es-ES"/>
              </w:rPr>
            </w:pPr>
            <w:r>
              <w:rPr>
                <w:sz w:val="22"/>
                <w:szCs w:val="22"/>
                <w:lang w:val="es-ES"/>
              </w:rPr>
              <w:t>Destino final (emplazamiento del Proyecto): La capacitación de los miembros de la Unidad de Comunicación Social de la Procuraduría General del Estado se realizará de manera mixta (presencial y telemática) acorde al cronograma aprobado por el Administrador de Contrato. La capacitación presencial se realizará en la ciudad de Quito</w:t>
            </w:r>
          </w:p>
        </w:tc>
      </w:tr>
      <w:tr>
        <w:trPr>
          <w:cantSplit/>
        </w:trPr>
        <w:tc>
          <w:tcPr>
            <w:tcW w:w="1728" w:type="dxa"/>
          </w:tcPr>
          <w:p>
            <w:pPr>
              <w:spacing w:before="60" w:after="60"/>
              <w:jc w:val="both"/>
              <w:rPr>
                <w:sz w:val="22"/>
                <w:szCs w:val="22"/>
                <w:lang w:val="es-ES"/>
              </w:rPr>
            </w:pPr>
            <w:r>
              <w:rPr>
                <w:sz w:val="22"/>
                <w:szCs w:val="22"/>
                <w:lang w:val="es-ES"/>
              </w:rPr>
              <w:t>CGC 4.2 (a)</w:t>
            </w:r>
          </w:p>
        </w:tc>
        <w:tc>
          <w:tcPr>
            <w:tcW w:w="7380" w:type="dxa"/>
          </w:tcPr>
          <w:p>
            <w:pPr>
              <w:tabs>
                <w:tab w:val="right" w:pos="7164"/>
              </w:tabs>
              <w:spacing w:before="60" w:after="60"/>
              <w:jc w:val="both"/>
              <w:rPr>
                <w:sz w:val="22"/>
                <w:szCs w:val="22"/>
                <w:lang w:val="es-ES"/>
              </w:rPr>
            </w:pPr>
            <w:r>
              <w:rPr>
                <w:sz w:val="22"/>
                <w:szCs w:val="22"/>
                <w:lang w:val="es-ES"/>
              </w:rPr>
              <w:t>No Aplica</w:t>
            </w:r>
          </w:p>
        </w:tc>
      </w:tr>
      <w:tr>
        <w:trPr>
          <w:cantSplit/>
        </w:trPr>
        <w:tc>
          <w:tcPr>
            <w:tcW w:w="1728" w:type="dxa"/>
          </w:tcPr>
          <w:p>
            <w:pPr>
              <w:spacing w:before="60" w:after="60"/>
              <w:rPr>
                <w:sz w:val="22"/>
                <w:szCs w:val="22"/>
                <w:lang w:val="es-ES"/>
              </w:rPr>
            </w:pPr>
            <w:r>
              <w:rPr>
                <w:sz w:val="22"/>
                <w:szCs w:val="22"/>
                <w:lang w:val="es-ES"/>
              </w:rPr>
              <w:t>CGC 4.2 (b)</w:t>
            </w:r>
          </w:p>
        </w:tc>
        <w:tc>
          <w:tcPr>
            <w:tcW w:w="7380" w:type="dxa"/>
          </w:tcPr>
          <w:p>
            <w:pPr>
              <w:tabs>
                <w:tab w:val="right" w:pos="7164"/>
              </w:tabs>
              <w:spacing w:before="60" w:after="60"/>
              <w:rPr>
                <w:sz w:val="22"/>
                <w:szCs w:val="22"/>
                <w:lang w:val="es-ES"/>
              </w:rPr>
            </w:pPr>
            <w:r>
              <w:rPr>
                <w:sz w:val="22"/>
                <w:szCs w:val="22"/>
                <w:lang w:val="es-ES"/>
              </w:rPr>
              <w:t>No Aplica</w:t>
            </w:r>
          </w:p>
        </w:tc>
      </w:tr>
      <w:tr>
        <w:trPr>
          <w:cantSplit/>
        </w:trPr>
        <w:tc>
          <w:tcPr>
            <w:tcW w:w="1728" w:type="dxa"/>
          </w:tcPr>
          <w:p>
            <w:pPr>
              <w:spacing w:before="60" w:after="60"/>
              <w:rPr>
                <w:sz w:val="22"/>
                <w:szCs w:val="22"/>
                <w:lang w:val="es-ES"/>
              </w:rPr>
            </w:pPr>
            <w:r>
              <w:rPr>
                <w:sz w:val="22"/>
                <w:szCs w:val="22"/>
                <w:lang w:val="es-ES"/>
              </w:rPr>
              <w:t>CGC 5.1</w:t>
            </w:r>
          </w:p>
        </w:tc>
        <w:tc>
          <w:tcPr>
            <w:tcW w:w="7380" w:type="dxa"/>
          </w:tcPr>
          <w:p>
            <w:pPr>
              <w:tabs>
                <w:tab w:val="right" w:pos="7254"/>
              </w:tabs>
              <w:spacing w:before="120" w:after="120"/>
              <w:jc w:val="both"/>
              <w:rPr>
                <w:sz w:val="22"/>
                <w:szCs w:val="22"/>
                <w:lang w:val="es-ES"/>
              </w:rPr>
            </w:pPr>
            <w:r>
              <w:rPr>
                <w:sz w:val="22"/>
                <w:szCs w:val="22"/>
                <w:lang w:val="es-ES"/>
              </w:rPr>
              <w:t>No Aplica</w:t>
            </w:r>
          </w:p>
        </w:tc>
      </w:tr>
      <w:tr>
        <w:trPr>
          <w:cantSplit/>
        </w:trPr>
        <w:tc>
          <w:tcPr>
            <w:tcW w:w="1728" w:type="dxa"/>
          </w:tcPr>
          <w:p>
            <w:pPr>
              <w:spacing w:before="60" w:after="60"/>
              <w:rPr>
                <w:sz w:val="22"/>
                <w:szCs w:val="22"/>
                <w:lang w:val="es-ES"/>
              </w:rPr>
            </w:pPr>
            <w:r>
              <w:rPr>
                <w:sz w:val="22"/>
                <w:szCs w:val="22"/>
                <w:lang w:val="es-ES"/>
              </w:rPr>
              <w:t>CGC 8.1</w:t>
            </w:r>
          </w:p>
        </w:tc>
        <w:tc>
          <w:tcPr>
            <w:tcW w:w="7380" w:type="dxa"/>
          </w:tcPr>
          <w:p>
            <w:pPr>
              <w:tabs>
                <w:tab w:val="right" w:pos="7164"/>
              </w:tabs>
              <w:spacing w:before="60" w:after="60"/>
              <w:rPr>
                <w:sz w:val="22"/>
                <w:szCs w:val="22"/>
                <w:lang w:val="es-ES"/>
              </w:rPr>
            </w:pPr>
            <w:r>
              <w:rPr>
                <w:sz w:val="22"/>
                <w:szCs w:val="22"/>
                <w:lang w:val="es-ES"/>
              </w:rPr>
              <w:t>Para Notificaciones, serán:</w:t>
            </w:r>
          </w:p>
          <w:p>
            <w:pPr>
              <w:tabs>
                <w:tab w:val="right" w:pos="7164"/>
              </w:tabs>
              <w:spacing w:before="60" w:after="60"/>
              <w:rPr>
                <w:sz w:val="22"/>
                <w:szCs w:val="22"/>
                <w:lang w:val="es-ES"/>
              </w:rPr>
            </w:pPr>
          </w:p>
          <w:p>
            <w:pPr>
              <w:tabs>
                <w:tab w:val="right" w:pos="7164"/>
              </w:tabs>
              <w:spacing w:before="60" w:after="60"/>
              <w:rPr>
                <w:sz w:val="22"/>
                <w:szCs w:val="22"/>
                <w:lang w:val="es-ES"/>
              </w:rPr>
            </w:pPr>
            <w:r>
              <w:rPr>
                <w:sz w:val="22"/>
                <w:szCs w:val="22"/>
                <w:lang w:val="es-ES"/>
              </w:rPr>
              <w:t>Del Contratante será:</w:t>
            </w:r>
          </w:p>
          <w:p>
            <w:pPr>
              <w:tabs>
                <w:tab w:val="right" w:pos="7164"/>
              </w:tabs>
              <w:spacing w:before="60" w:after="60"/>
              <w:rPr>
                <w:sz w:val="22"/>
                <w:szCs w:val="22"/>
                <w:lang w:val="es-ES"/>
              </w:rPr>
            </w:pPr>
          </w:p>
          <w:p>
            <w:pPr>
              <w:tabs>
                <w:tab w:val="right" w:pos="7164"/>
              </w:tabs>
              <w:spacing w:before="60" w:after="60"/>
              <w:rPr>
                <w:sz w:val="22"/>
                <w:szCs w:val="22"/>
                <w:lang w:val="es-ES"/>
              </w:rPr>
            </w:pPr>
            <w:r>
              <w:rPr>
                <w:sz w:val="22"/>
                <w:szCs w:val="22"/>
                <w:lang w:val="es-ES"/>
              </w:rPr>
              <w:t>Atención: [Consignar nombre de la persona a quien deberá dirigirse]</w:t>
            </w:r>
          </w:p>
          <w:p>
            <w:pPr>
              <w:tabs>
                <w:tab w:val="right" w:pos="7164"/>
              </w:tabs>
              <w:spacing w:before="60" w:after="60"/>
              <w:rPr>
                <w:sz w:val="22"/>
                <w:szCs w:val="22"/>
                <w:lang w:val="es-ES"/>
              </w:rPr>
            </w:pPr>
            <w:r>
              <w:rPr>
                <w:sz w:val="22"/>
                <w:szCs w:val="22"/>
                <w:lang w:val="es-ES"/>
              </w:rPr>
              <w:t>Dirección: Dirección Regional de Cuenca, calle Manuel J. Calle y Cornelio Merchán, ex edificio del SRI</w:t>
            </w:r>
          </w:p>
          <w:p>
            <w:pPr>
              <w:tabs>
                <w:tab w:val="right" w:pos="7164"/>
              </w:tabs>
              <w:spacing w:before="60" w:after="60"/>
              <w:rPr>
                <w:sz w:val="22"/>
                <w:szCs w:val="22"/>
                <w:lang w:val="es-ES"/>
              </w:rPr>
            </w:pPr>
            <w:r>
              <w:rPr>
                <w:sz w:val="22"/>
                <w:szCs w:val="22"/>
                <w:lang w:val="es-ES"/>
              </w:rPr>
              <w:t>Número del Piso: Planta baja</w:t>
            </w:r>
          </w:p>
          <w:p>
            <w:pPr>
              <w:tabs>
                <w:tab w:val="right" w:pos="7164"/>
              </w:tabs>
              <w:spacing w:before="60" w:after="60"/>
              <w:rPr>
                <w:sz w:val="22"/>
                <w:szCs w:val="22"/>
                <w:lang w:val="es-ES"/>
              </w:rPr>
            </w:pPr>
            <w:r>
              <w:rPr>
                <w:sz w:val="22"/>
                <w:szCs w:val="22"/>
                <w:lang w:val="es-ES"/>
              </w:rPr>
              <w:t>Ciudad y Código postal: Cuenca - xxxx</w:t>
            </w:r>
          </w:p>
          <w:p>
            <w:pPr>
              <w:tabs>
                <w:tab w:val="right" w:pos="7164"/>
              </w:tabs>
              <w:spacing w:before="60" w:after="60"/>
              <w:rPr>
                <w:sz w:val="22"/>
                <w:szCs w:val="22"/>
                <w:lang w:val="es-ES"/>
              </w:rPr>
            </w:pPr>
            <w:r>
              <w:rPr>
                <w:sz w:val="22"/>
                <w:szCs w:val="22"/>
                <w:lang w:val="es-ES"/>
              </w:rPr>
              <w:t>País: Ecuador</w:t>
            </w:r>
          </w:p>
          <w:p>
            <w:pPr>
              <w:tabs>
                <w:tab w:val="right" w:pos="7164"/>
              </w:tabs>
              <w:spacing w:before="60" w:after="60"/>
              <w:rPr>
                <w:sz w:val="22"/>
                <w:szCs w:val="22"/>
                <w:lang w:val="es-ES"/>
              </w:rPr>
            </w:pPr>
            <w:r>
              <w:rPr>
                <w:sz w:val="22"/>
                <w:szCs w:val="22"/>
                <w:lang w:val="es-ES"/>
              </w:rPr>
              <w:t>Dirección de correo electrónico: [Consignar correo electrónico]</w:t>
            </w:r>
          </w:p>
          <w:p>
            <w:pPr>
              <w:tabs>
                <w:tab w:val="right" w:pos="7164"/>
              </w:tabs>
              <w:spacing w:before="60" w:after="60"/>
              <w:rPr>
                <w:sz w:val="22"/>
                <w:szCs w:val="22"/>
                <w:lang w:val="es-ES"/>
              </w:rPr>
            </w:pPr>
          </w:p>
          <w:p>
            <w:pPr>
              <w:tabs>
                <w:tab w:val="right" w:pos="7164"/>
              </w:tabs>
              <w:spacing w:before="60" w:after="60"/>
              <w:rPr>
                <w:sz w:val="22"/>
                <w:szCs w:val="22"/>
                <w:lang w:val="es-ES"/>
              </w:rPr>
            </w:pPr>
            <w:r>
              <w:rPr>
                <w:sz w:val="22"/>
                <w:szCs w:val="22"/>
                <w:lang w:val="es-ES"/>
              </w:rPr>
              <w:t>Del Contratista será:</w:t>
            </w:r>
          </w:p>
          <w:p>
            <w:pPr>
              <w:tabs>
                <w:tab w:val="right" w:pos="7164"/>
              </w:tabs>
              <w:spacing w:before="60" w:after="60"/>
              <w:rPr>
                <w:sz w:val="22"/>
                <w:szCs w:val="22"/>
                <w:lang w:val="es-ES"/>
              </w:rPr>
            </w:pPr>
          </w:p>
          <w:p>
            <w:pPr>
              <w:tabs>
                <w:tab w:val="right" w:pos="7164"/>
              </w:tabs>
              <w:spacing w:before="60" w:after="60"/>
              <w:rPr>
                <w:sz w:val="22"/>
                <w:szCs w:val="22"/>
                <w:lang w:val="es-ES"/>
              </w:rPr>
            </w:pPr>
            <w:r>
              <w:rPr>
                <w:sz w:val="22"/>
                <w:szCs w:val="22"/>
                <w:lang w:val="es-ES"/>
              </w:rPr>
              <w:t>Atención: [Consignar nombre del contratista]</w:t>
            </w:r>
          </w:p>
          <w:p>
            <w:pPr>
              <w:tabs>
                <w:tab w:val="right" w:pos="7164"/>
              </w:tabs>
              <w:spacing w:before="60" w:after="60"/>
              <w:rPr>
                <w:sz w:val="22"/>
                <w:szCs w:val="22"/>
                <w:lang w:val="es-ES"/>
              </w:rPr>
            </w:pPr>
            <w:r>
              <w:rPr>
                <w:sz w:val="22"/>
                <w:szCs w:val="22"/>
                <w:lang w:val="es-ES"/>
              </w:rPr>
              <w:t>Dirección: [Consignar dirección del contratista]</w:t>
            </w:r>
          </w:p>
          <w:p>
            <w:pPr>
              <w:tabs>
                <w:tab w:val="right" w:pos="7164"/>
              </w:tabs>
              <w:spacing w:before="60" w:after="60"/>
              <w:rPr>
                <w:sz w:val="22"/>
                <w:szCs w:val="22"/>
                <w:lang w:val="es-ES"/>
              </w:rPr>
            </w:pPr>
            <w:r>
              <w:rPr>
                <w:sz w:val="22"/>
                <w:szCs w:val="22"/>
                <w:lang w:val="es-ES"/>
              </w:rPr>
              <w:t>Ciudad: [Consignar ciudad del contratista]</w:t>
            </w:r>
          </w:p>
          <w:p>
            <w:pPr>
              <w:tabs>
                <w:tab w:val="right" w:pos="7164"/>
              </w:tabs>
              <w:spacing w:before="60" w:after="60"/>
              <w:rPr>
                <w:sz w:val="22"/>
                <w:szCs w:val="22"/>
                <w:lang w:val="es-ES"/>
              </w:rPr>
            </w:pPr>
            <w:r>
              <w:rPr>
                <w:sz w:val="22"/>
                <w:szCs w:val="22"/>
                <w:lang w:val="es-ES"/>
              </w:rPr>
              <w:t>País del Contratista: Ecuador</w:t>
            </w:r>
          </w:p>
          <w:p>
            <w:pPr>
              <w:tabs>
                <w:tab w:val="right" w:pos="7164"/>
              </w:tabs>
              <w:spacing w:before="60" w:after="60"/>
              <w:rPr>
                <w:sz w:val="22"/>
                <w:szCs w:val="22"/>
                <w:lang w:val="es-ES"/>
              </w:rPr>
            </w:pPr>
            <w:r>
              <w:rPr>
                <w:sz w:val="22"/>
                <w:szCs w:val="22"/>
                <w:lang w:val="es-ES"/>
              </w:rPr>
              <w:t>Dirección de correo electrónico: [Consignar correo electrónico]</w:t>
            </w:r>
          </w:p>
          <w:p>
            <w:pPr>
              <w:tabs>
                <w:tab w:val="right" w:pos="7164"/>
              </w:tabs>
              <w:spacing w:before="60" w:after="60"/>
              <w:rPr>
                <w:sz w:val="22"/>
                <w:szCs w:val="22"/>
                <w:lang w:val="es-ES"/>
              </w:rPr>
            </w:pPr>
            <w:r>
              <w:rPr>
                <w:sz w:val="22"/>
                <w:szCs w:val="22"/>
                <w:lang w:val="es-ES"/>
              </w:rPr>
              <w:t>Teléfono: [Consignar teléfono del contratista]</w:t>
            </w:r>
          </w:p>
        </w:tc>
      </w:tr>
      <w:tr>
        <w:trPr>
          <w:cantSplit/>
        </w:trPr>
        <w:tc>
          <w:tcPr>
            <w:tcW w:w="1728" w:type="dxa"/>
          </w:tcPr>
          <w:p>
            <w:pPr>
              <w:spacing w:before="60" w:after="60"/>
              <w:rPr>
                <w:sz w:val="22"/>
                <w:szCs w:val="22"/>
                <w:lang w:val="es-ES"/>
              </w:rPr>
            </w:pPr>
            <w:r>
              <w:rPr>
                <w:sz w:val="22"/>
                <w:szCs w:val="22"/>
                <w:lang w:val="es-ES"/>
              </w:rPr>
              <w:t>CGC 9.1</w:t>
            </w:r>
          </w:p>
        </w:tc>
        <w:tc>
          <w:tcPr>
            <w:tcW w:w="7380" w:type="dxa"/>
          </w:tcPr>
          <w:p>
            <w:pPr>
              <w:tabs>
                <w:tab w:val="right" w:pos="7164"/>
              </w:tabs>
              <w:spacing w:before="60" w:after="60"/>
              <w:rPr>
                <w:sz w:val="22"/>
                <w:szCs w:val="22"/>
                <w:lang w:val="es-ES"/>
              </w:rPr>
            </w:pPr>
            <w:r>
              <w:rPr>
                <w:sz w:val="22"/>
                <w:szCs w:val="22"/>
                <w:lang w:val="es-ES"/>
              </w:rPr>
              <w:t xml:space="preserve">La ley que rige será la ley de: </w:t>
            </w:r>
            <w:r>
              <w:rPr>
                <w:b/>
                <w:bCs/>
                <w:i/>
                <w:iCs/>
                <w:sz w:val="22"/>
                <w:szCs w:val="22"/>
                <w:lang w:val="es-ES"/>
              </w:rPr>
              <w:t>República del Ecuador</w:t>
            </w:r>
          </w:p>
        </w:tc>
      </w:tr>
      <w:tr>
        <w:tc>
          <w:tcPr>
            <w:tcW w:w="1728" w:type="dxa"/>
          </w:tcPr>
          <w:p>
            <w:pPr>
              <w:spacing w:before="60" w:after="60"/>
              <w:rPr>
                <w:sz w:val="22"/>
                <w:szCs w:val="22"/>
                <w:lang w:val="es-ES"/>
              </w:rPr>
            </w:pPr>
            <w:r>
              <w:rPr>
                <w:sz w:val="22"/>
                <w:szCs w:val="22"/>
                <w:lang w:val="es-ES"/>
              </w:rPr>
              <w:t>CGC 10.2</w:t>
            </w:r>
          </w:p>
        </w:tc>
        <w:tc>
          <w:tcPr>
            <w:tcW w:w="7380" w:type="dxa"/>
          </w:tcPr>
          <w:p>
            <w:pPr>
              <w:suppressAutoHyphens/>
              <w:spacing w:before="60" w:after="60"/>
              <w:jc w:val="both"/>
              <w:rPr>
                <w:sz w:val="22"/>
                <w:szCs w:val="22"/>
                <w:lang w:val="es-ES"/>
              </w:rPr>
            </w:pPr>
            <w:r>
              <w:rPr>
                <w:sz w:val="22"/>
                <w:szCs w:val="22"/>
                <w:lang w:val="es-ES"/>
              </w:rPr>
              <w:t xml:space="preserve">Los reglamentos de los procedimientos para los procesos de arbitraje, de conformidad con la Cláusula 10.2 de las CGC, serán: </w:t>
            </w:r>
          </w:p>
          <w:p>
            <w:pPr>
              <w:suppressAutoHyphens/>
              <w:spacing w:before="60" w:after="60"/>
              <w:jc w:val="both"/>
              <w:rPr>
                <w:i/>
                <w:color w:val="0070C0"/>
                <w:sz w:val="22"/>
                <w:szCs w:val="22"/>
                <w:lang w:val="es-ES"/>
              </w:rPr>
            </w:pPr>
            <w:r>
              <w:rPr>
                <w:i/>
                <w:color w:val="0070C0"/>
                <w:sz w:val="22"/>
                <w:szCs w:val="22"/>
                <w:lang w:val="es-ES"/>
              </w:rPr>
              <w:t xml:space="preserve">[La Solicitud de Cotización deberán incluir una cláusula que se podrá utilizar en el caso de un Contrato con un Proveedor extranjero y otra cláusula que se podrá  utilizar en el caso de un Contrato con un Proveedor que es ciudadano del país del Comprador. En el momento de </w:t>
            </w:r>
            <w:r>
              <w:rPr>
                <w:i/>
                <w:iCs/>
                <w:color w:val="0070C0"/>
                <w:sz w:val="22"/>
                <w:szCs w:val="22"/>
                <w:lang w:val="es-ES"/>
              </w:rPr>
              <w:t>ejecutar</w:t>
            </w:r>
            <w:r>
              <w:rPr>
                <w:i/>
                <w:color w:val="0070C0"/>
                <w:sz w:val="22"/>
                <w:szCs w:val="22"/>
                <w:lang w:val="es-ES"/>
              </w:rPr>
              <w:t xml:space="preserve"> el Contrato se deberá retener en el Contrato la cláusula respectiva que aplique. La siguiente nota explicativa, por lo </w:t>
            </w:r>
            <w:r>
              <w:rPr>
                <w:i/>
                <w:color w:val="0070C0"/>
                <w:sz w:val="22"/>
                <w:szCs w:val="22"/>
                <w:lang w:val="es-ES"/>
              </w:rPr>
              <w:lastRenderedPageBreak/>
              <w:t>tanto, deberá insertarse como un encabezamiento a la Cláusula 10.2 de las CGC en el documento de licitación:</w:t>
            </w:r>
          </w:p>
          <w:p>
            <w:pPr>
              <w:suppressAutoHyphens/>
              <w:spacing w:before="60" w:after="60"/>
              <w:jc w:val="both"/>
              <w:rPr>
                <w:color w:val="0070C0"/>
                <w:sz w:val="22"/>
                <w:szCs w:val="22"/>
                <w:lang w:val="es-ES"/>
              </w:rPr>
            </w:pPr>
            <w:r>
              <w:rPr>
                <w:i/>
                <w:color w:val="0070C0"/>
                <w:sz w:val="22"/>
                <w:szCs w:val="22"/>
                <w:lang w:val="es-ES"/>
              </w:rPr>
              <w:t>“La Cláusula 10.2 (a) se deberá retener en el caso de un Contrato con un Proveedor extranjero, y la Cláusula 10.2 (b), en el caso de un Contrato con un ciudadano del país del Comprador</w:t>
            </w:r>
            <w:r>
              <w:rPr>
                <w:i/>
                <w:iCs/>
                <w:color w:val="0070C0"/>
                <w:sz w:val="22"/>
                <w:szCs w:val="22"/>
                <w:lang w:val="es-ES"/>
              </w:rPr>
              <w:t>.”]</w:t>
            </w:r>
          </w:p>
          <w:p>
            <w:pPr>
              <w:pStyle w:val="Prrafodelista"/>
              <w:numPr>
                <w:ilvl w:val="0"/>
                <w:numId w:val="159"/>
              </w:numPr>
              <w:suppressAutoHyphens/>
              <w:spacing w:before="60" w:after="60"/>
              <w:ind w:left="432"/>
              <w:jc w:val="both"/>
              <w:rPr>
                <w:b/>
                <w:bCs/>
                <w:color w:val="0070C0"/>
                <w:sz w:val="22"/>
                <w:szCs w:val="22"/>
                <w:lang w:val="es-ES"/>
              </w:rPr>
            </w:pPr>
            <w:r>
              <w:rPr>
                <w:b/>
                <w:bCs/>
                <w:i/>
                <w:color w:val="0070C0"/>
                <w:sz w:val="22"/>
                <w:szCs w:val="22"/>
                <w:lang w:val="es-ES"/>
              </w:rPr>
              <w:t>Contrato con un Proveedor Extranjero:</w:t>
            </w:r>
          </w:p>
          <w:p>
            <w:pPr>
              <w:spacing w:before="60" w:after="140"/>
              <w:ind w:left="432" w:right="-14"/>
              <w:jc w:val="both"/>
              <w:rPr>
                <w:i/>
                <w:spacing w:val="-3"/>
                <w:sz w:val="22"/>
                <w:szCs w:val="22"/>
                <w:lang w:val="es-ES"/>
              </w:rPr>
            </w:pPr>
            <w:r>
              <w:rPr>
                <w:i/>
                <w:sz w:val="22"/>
                <w:szCs w:val="22"/>
                <w:lang w:val="es-ES"/>
              </w:rPr>
              <w:t xml:space="preserve">[En los contratos celebrados con un proveedor extranjero, el arbitraje comercial internacional puede tener ventajas prácticas sobre </w:t>
            </w:r>
            <w:r>
              <w:rPr>
                <w:i/>
                <w:iCs/>
                <w:sz w:val="22"/>
                <w:szCs w:val="22"/>
                <w:lang w:val="es-ES"/>
              </w:rPr>
              <w:t>los</w:t>
            </w:r>
            <w:r>
              <w:rPr>
                <w:i/>
                <w:sz w:val="22"/>
                <w:szCs w:val="22"/>
                <w:lang w:val="es-ES"/>
              </w:rPr>
              <w:t xml:space="preserve"> otros métodos de solución de controversias. El Banco </w:t>
            </w:r>
            <w:r>
              <w:rPr>
                <w:i/>
                <w:iCs/>
                <w:sz w:val="22"/>
                <w:szCs w:val="22"/>
                <w:lang w:val="es-ES"/>
              </w:rPr>
              <w:t>Interamericano de Desarrollo</w:t>
            </w:r>
            <w:r>
              <w:rPr>
                <w:i/>
                <w:sz w:val="22"/>
                <w:szCs w:val="22"/>
                <w:lang w:val="es-ES"/>
              </w:rPr>
              <w:t xml:space="preserve"> no debe ser designado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w:t>
            </w:r>
            <w:r>
              <w:rPr>
                <w:sz w:val="22"/>
                <w:szCs w:val="22"/>
                <w:lang w:val="es-ES"/>
              </w:rPr>
              <w:t xml:space="preserve">) </w:t>
            </w:r>
            <w:r>
              <w:rPr>
                <w:i/>
                <w:sz w:val="22"/>
                <w:szCs w:val="22"/>
                <w:lang w:val="es-ES"/>
              </w:rPr>
              <w:t xml:space="preserve">(UNCITRAL, por sus siglas en inglés), el </w:t>
            </w:r>
            <w:r>
              <w:rPr>
                <w:i/>
                <w:spacing w:val="-3"/>
                <w:sz w:val="22"/>
                <w:szCs w:val="22"/>
                <w:lang w:val="es-ES"/>
              </w:rPr>
              <w:t>Reglamento de Arbitraje de la Cámara de Comercio Internacional (CCI) (ICC, por sus siglas en inglés), el Reglamento de la Corte de Arbitraje Internacional de Londres, o el Reglamento del Instituto de Arbitraje de la Cámara de Comercio de Estocolmo.]</w:t>
            </w:r>
          </w:p>
          <w:p>
            <w:pPr>
              <w:spacing w:after="120"/>
              <w:ind w:left="432" w:right="-14"/>
              <w:jc w:val="both"/>
              <w:rPr>
                <w:b/>
                <w:bCs/>
                <w:i/>
                <w:spacing w:val="-3"/>
                <w:sz w:val="22"/>
                <w:szCs w:val="22"/>
                <w:lang w:val="es-ES"/>
              </w:rPr>
            </w:pPr>
            <w:r>
              <w:rPr>
                <w:b/>
                <w:bCs/>
                <w:i/>
                <w:color w:val="0070C0"/>
                <w:sz w:val="22"/>
                <w:szCs w:val="22"/>
                <w:lang w:val="es-ES"/>
              </w:rPr>
              <w:t xml:space="preserve">Si el Comprador selecciona el Reglamento de Arbitraje de UNCITRAL,  deberá insertar la siguiente cláusula tipo: </w:t>
            </w:r>
          </w:p>
          <w:p>
            <w:pPr>
              <w:spacing w:before="60" w:after="60"/>
              <w:ind w:left="432"/>
              <w:jc w:val="both"/>
              <w:rPr>
                <w:i/>
                <w:sz w:val="22"/>
                <w:szCs w:val="22"/>
                <w:lang w:val="es-ES"/>
              </w:rPr>
            </w:pPr>
            <w:r>
              <w:rPr>
                <w:sz w:val="22"/>
                <w:szCs w:val="22"/>
                <w:lang w:val="es-ES"/>
              </w:rPr>
              <w:t>CGC 10.2 (a) -</w:t>
            </w:r>
            <w:r>
              <w:rPr>
                <w:i/>
                <w:sz w:val="22"/>
                <w:szCs w:val="22"/>
                <w:lang w:val="es-ES"/>
              </w:rPr>
              <w:t xml:space="preserve">  </w:t>
            </w:r>
            <w:r>
              <w:rPr>
                <w:sz w:val="22"/>
                <w:szCs w:val="22"/>
                <w:lang w:val="es-ES"/>
              </w:rPr>
              <w:t>Cualquier disputa, controversia o reclamo generado por o en relación con este Contrato, o por incumplimiento, cesación, o anulación del mismo, deberán ser resueltos mediante arbitraje de conformidad con el Reglamento de Arbitraje vigente de la CNUDMI.</w:t>
            </w:r>
          </w:p>
          <w:p>
            <w:pPr>
              <w:spacing w:after="120"/>
              <w:ind w:left="432" w:right="-14"/>
              <w:jc w:val="both"/>
              <w:rPr>
                <w:b/>
                <w:bCs/>
                <w:i/>
                <w:color w:val="0070C0"/>
                <w:sz w:val="22"/>
                <w:szCs w:val="22"/>
                <w:lang w:val="es-ES"/>
              </w:rPr>
            </w:pPr>
            <w:r>
              <w:rPr>
                <w:b/>
                <w:bCs/>
                <w:i/>
                <w:color w:val="0070C0"/>
                <w:sz w:val="22"/>
                <w:szCs w:val="22"/>
                <w:lang w:val="es-ES"/>
              </w:rPr>
              <w:t xml:space="preserve">Si el Comprador selecciona el Reglamento de Arbitraje de la CCI,  deberá inserta la siguiente cláusula tipo: </w:t>
            </w:r>
          </w:p>
          <w:p>
            <w:pPr>
              <w:spacing w:before="60" w:after="60"/>
              <w:ind w:left="432"/>
              <w:jc w:val="both"/>
              <w:rPr>
                <w:i/>
                <w:sz w:val="22"/>
                <w:szCs w:val="22"/>
                <w:lang w:val="es-ES"/>
              </w:rPr>
            </w:pPr>
            <w:r>
              <w:rPr>
                <w:sz w:val="22"/>
                <w:szCs w:val="22"/>
                <w:lang w:val="es-ES"/>
              </w:rPr>
              <w:t>CGC 10.2 (a)</w:t>
            </w:r>
            <w:r>
              <w:rPr>
                <w:i/>
                <w:sz w:val="22"/>
                <w:szCs w:val="22"/>
                <w:lang w:val="es-ES"/>
              </w:rPr>
              <w:t xml:space="preserve"> – </w:t>
            </w:r>
            <w:r>
              <w:rPr>
                <w:sz w:val="22"/>
                <w:szCs w:val="22"/>
                <w:lang w:val="es-ES"/>
              </w:rPr>
              <w:t>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pPr>
              <w:spacing w:after="120"/>
              <w:ind w:left="432" w:right="-14"/>
              <w:jc w:val="both"/>
              <w:rPr>
                <w:b/>
                <w:bCs/>
                <w:i/>
                <w:sz w:val="22"/>
                <w:szCs w:val="22"/>
                <w:lang w:val="es-ES"/>
              </w:rPr>
            </w:pPr>
            <w:r>
              <w:rPr>
                <w:b/>
                <w:bCs/>
                <w:i/>
                <w:color w:val="0070C0"/>
                <w:sz w:val="22"/>
                <w:szCs w:val="22"/>
                <w:lang w:val="es-ES"/>
              </w:rPr>
              <w:t>Si el Comprador selecciona el Reglamento del Instituto de Arbitraje de la Cámara de Comercio de Estocolmo, deberá insertar la siguiente cláusula tipo:</w:t>
            </w:r>
            <w:r>
              <w:rPr>
                <w:b/>
                <w:bCs/>
                <w:i/>
                <w:sz w:val="22"/>
                <w:szCs w:val="22"/>
                <w:lang w:val="es-ES"/>
              </w:rPr>
              <w:t xml:space="preserve"> </w:t>
            </w:r>
          </w:p>
          <w:p>
            <w:pPr>
              <w:spacing w:before="60" w:after="60"/>
              <w:ind w:left="432"/>
              <w:jc w:val="both"/>
              <w:rPr>
                <w:sz w:val="22"/>
                <w:szCs w:val="22"/>
                <w:lang w:val="es-ES"/>
              </w:rPr>
            </w:pPr>
            <w:r>
              <w:rPr>
                <w:sz w:val="22"/>
                <w:szCs w:val="22"/>
                <w:lang w:val="es-ES"/>
              </w:rPr>
              <w:t>CGC 10.2 (a)</w:t>
            </w:r>
            <w:r>
              <w:rPr>
                <w:i/>
                <w:sz w:val="22"/>
                <w:szCs w:val="22"/>
                <w:lang w:val="es-ES"/>
              </w:rPr>
              <w:t xml:space="preserve"> – </w:t>
            </w:r>
            <w:r>
              <w:rPr>
                <w:sz w:val="22"/>
                <w:szCs w:val="22"/>
                <w:lang w:val="es-ES"/>
              </w:rPr>
              <w:t>Cualquiera disputa, controversia o reclamo generado por o en relación con este Contrato, por incumplimiento, o cesación, o anulación o invalidez del mismo, deberá ser resuelto mediante arbitraje de conformidad con el Reglamento de Arbitraje de la Cámara de Comercio de Estocolmo.</w:t>
            </w:r>
          </w:p>
          <w:p>
            <w:pPr>
              <w:spacing w:after="120"/>
              <w:ind w:left="432" w:right="-14"/>
              <w:jc w:val="both"/>
              <w:rPr>
                <w:b/>
                <w:bCs/>
                <w:i/>
                <w:color w:val="0070C0"/>
                <w:sz w:val="22"/>
                <w:szCs w:val="22"/>
                <w:lang w:val="es-ES"/>
              </w:rPr>
            </w:pPr>
            <w:r>
              <w:rPr>
                <w:b/>
                <w:bCs/>
                <w:i/>
                <w:color w:val="0070C0"/>
                <w:sz w:val="22"/>
                <w:szCs w:val="22"/>
                <w:lang w:val="es-ES"/>
              </w:rPr>
              <w:t xml:space="preserve">Si el Comprador selecciona el Reglamento de la Corte de Arbitraje Internacional de Londres,  deberá insertar la siguiente cláusula tipo: </w:t>
            </w:r>
          </w:p>
          <w:p>
            <w:pPr>
              <w:spacing w:before="60" w:after="60"/>
              <w:ind w:left="432"/>
              <w:jc w:val="both"/>
              <w:rPr>
                <w:sz w:val="22"/>
                <w:szCs w:val="22"/>
                <w:lang w:val="es-ES"/>
              </w:rPr>
            </w:pPr>
            <w:r>
              <w:rPr>
                <w:sz w:val="22"/>
                <w:szCs w:val="22"/>
                <w:lang w:val="es-ES"/>
              </w:rPr>
              <w:t>CGC 10.2 (a)</w:t>
            </w:r>
            <w:r>
              <w:rPr>
                <w:i/>
                <w:sz w:val="22"/>
                <w:szCs w:val="22"/>
                <w:lang w:val="es-ES"/>
              </w:rPr>
              <w:t xml:space="preserve"> – </w:t>
            </w:r>
            <w:r>
              <w:rPr>
                <w:sz w:val="22"/>
                <w:szCs w:val="22"/>
                <w:lang w:val="es-ES"/>
              </w:rPr>
              <w:t>Cualquiera controversia generada en relación con este Contrato, inclusive cualquier duda sobre su existencia, validez o cesación, deberá ser remitida y finalmente resuelta mediante el Reglamento de la Corte Internacional de Londres, cuyo reglamento, por la referencia en esta cláusula, se considera aquí incorporado.</w:t>
            </w:r>
          </w:p>
          <w:p>
            <w:pPr>
              <w:pStyle w:val="Prrafodelista"/>
              <w:numPr>
                <w:ilvl w:val="0"/>
                <w:numId w:val="159"/>
              </w:numPr>
              <w:suppressAutoHyphens/>
              <w:spacing w:before="60" w:after="60"/>
              <w:ind w:left="432"/>
              <w:jc w:val="both"/>
              <w:rPr>
                <w:b/>
                <w:bCs/>
                <w:i/>
                <w:color w:val="0070C0"/>
                <w:sz w:val="22"/>
                <w:szCs w:val="22"/>
                <w:lang w:val="es-ES"/>
              </w:rPr>
            </w:pPr>
            <w:r>
              <w:rPr>
                <w:b/>
                <w:bCs/>
                <w:i/>
                <w:color w:val="0070C0"/>
                <w:sz w:val="22"/>
                <w:szCs w:val="22"/>
                <w:lang w:val="es-ES"/>
              </w:rPr>
              <w:t>Contratos con Proveedores ciudadanos del país del Comprador:</w:t>
            </w:r>
          </w:p>
          <w:p>
            <w:pPr>
              <w:suppressAutoHyphens/>
              <w:spacing w:before="60" w:after="60"/>
              <w:ind w:left="702" w:firstLine="7"/>
              <w:jc w:val="both"/>
              <w:rPr>
                <w:sz w:val="22"/>
                <w:szCs w:val="22"/>
                <w:u w:val="single"/>
                <w:lang w:val="es-ES"/>
              </w:rPr>
            </w:pPr>
            <w:r>
              <w:rPr>
                <w:sz w:val="22"/>
                <w:szCs w:val="22"/>
                <w:lang w:val="es-ES"/>
              </w:rPr>
              <w:t xml:space="preserve">En el caso de alguna controversia entre el Comprador y el Proveedor que es un ciudadano del país del Comprador, la controversia deberá ser sometida a juicio o arbitraje de acuerdo con las leyes del país del Comprador. </w:t>
            </w:r>
            <w:r>
              <w:rPr>
                <w:i/>
                <w:sz w:val="22"/>
                <w:szCs w:val="22"/>
                <w:lang w:val="es-ES"/>
              </w:rPr>
              <w:t xml:space="preserve"> </w:t>
            </w:r>
          </w:p>
        </w:tc>
      </w:tr>
      <w:tr>
        <w:tc>
          <w:tcPr>
            <w:tcW w:w="1728" w:type="dxa"/>
          </w:tcPr>
          <w:p>
            <w:pPr>
              <w:spacing w:before="60" w:after="60"/>
              <w:rPr>
                <w:sz w:val="22"/>
                <w:szCs w:val="22"/>
                <w:lang w:val="es-ES"/>
              </w:rPr>
            </w:pPr>
            <w:r>
              <w:rPr>
                <w:sz w:val="22"/>
                <w:szCs w:val="22"/>
                <w:lang w:val="es-ES"/>
              </w:rPr>
              <w:lastRenderedPageBreak/>
              <w:t>CGC 13.1</w:t>
            </w:r>
          </w:p>
        </w:tc>
        <w:tc>
          <w:tcPr>
            <w:tcW w:w="7380" w:type="dxa"/>
          </w:tcPr>
          <w:p>
            <w:pPr>
              <w:spacing w:before="60" w:after="60"/>
              <w:jc w:val="both"/>
              <w:rPr>
                <w:sz w:val="22"/>
                <w:szCs w:val="22"/>
                <w:lang w:val="es-ES"/>
              </w:rPr>
            </w:pPr>
            <w:r>
              <w:rPr>
                <w:sz w:val="22"/>
                <w:szCs w:val="22"/>
                <w:lang w:val="es-ES"/>
              </w:rPr>
              <w:t>No Aplica</w:t>
            </w:r>
          </w:p>
        </w:tc>
      </w:tr>
      <w:tr>
        <w:trPr>
          <w:cantSplit/>
        </w:trPr>
        <w:tc>
          <w:tcPr>
            <w:tcW w:w="1728" w:type="dxa"/>
          </w:tcPr>
          <w:p>
            <w:pPr>
              <w:spacing w:before="60" w:after="60"/>
              <w:rPr>
                <w:sz w:val="22"/>
                <w:szCs w:val="22"/>
                <w:lang w:val="es-ES"/>
              </w:rPr>
            </w:pPr>
            <w:r>
              <w:rPr>
                <w:sz w:val="22"/>
                <w:szCs w:val="22"/>
                <w:lang w:val="es-ES"/>
              </w:rPr>
              <w:t>CGC 15.1</w:t>
            </w:r>
          </w:p>
        </w:tc>
        <w:tc>
          <w:tcPr>
            <w:tcW w:w="7380" w:type="dxa"/>
          </w:tcPr>
          <w:p>
            <w:pPr>
              <w:tabs>
                <w:tab w:val="right" w:pos="7164"/>
              </w:tabs>
              <w:spacing w:before="60" w:after="60"/>
              <w:jc w:val="both"/>
              <w:rPr>
                <w:sz w:val="22"/>
                <w:szCs w:val="22"/>
                <w:lang w:val="es-ES"/>
              </w:rPr>
            </w:pPr>
            <w:r>
              <w:rPr>
                <w:sz w:val="22"/>
                <w:szCs w:val="22"/>
                <w:lang w:val="es-ES"/>
              </w:rPr>
              <w:t>Los precios de los Servicios diferentes de consultoría no estarán sujetos a ajustes de precio.</w:t>
            </w:r>
          </w:p>
        </w:tc>
      </w:tr>
      <w:tr>
        <w:tc>
          <w:tcPr>
            <w:tcW w:w="1728" w:type="dxa"/>
          </w:tcPr>
          <w:p>
            <w:pPr>
              <w:spacing w:before="60" w:after="60"/>
              <w:rPr>
                <w:sz w:val="22"/>
                <w:szCs w:val="22"/>
                <w:lang w:val="es-ES"/>
              </w:rPr>
            </w:pPr>
            <w:r>
              <w:rPr>
                <w:sz w:val="22"/>
                <w:szCs w:val="22"/>
                <w:lang w:val="es-ES"/>
              </w:rPr>
              <w:t>CGC 16.1</w:t>
            </w:r>
          </w:p>
        </w:tc>
        <w:tc>
          <w:tcPr>
            <w:tcW w:w="7380" w:type="dxa"/>
          </w:tcPr>
          <w:p>
            <w:pPr>
              <w:suppressAutoHyphens/>
              <w:spacing w:before="60" w:after="60"/>
              <w:jc w:val="both"/>
              <w:rPr>
                <w:iCs/>
                <w:sz w:val="22"/>
                <w:szCs w:val="22"/>
                <w:lang w:val="es-ES"/>
              </w:rPr>
            </w:pPr>
            <w:r>
              <w:rPr>
                <w:iCs/>
                <w:sz w:val="22"/>
                <w:szCs w:val="22"/>
                <w:lang w:val="es-ES"/>
              </w:rPr>
              <w:t>El 100% del contrato será pagado contraentrega de los servicios prestados previo la presentación</w:t>
            </w:r>
          </w:p>
          <w:p>
            <w:pPr>
              <w:suppressAutoHyphens/>
              <w:spacing w:before="60" w:after="60"/>
              <w:jc w:val="both"/>
              <w:rPr>
                <w:iCs/>
                <w:sz w:val="22"/>
                <w:szCs w:val="22"/>
                <w:lang w:val="es-ES"/>
              </w:rPr>
            </w:pPr>
            <w:r>
              <w:rPr>
                <w:iCs/>
                <w:sz w:val="22"/>
                <w:szCs w:val="22"/>
                <w:lang w:val="es-ES"/>
              </w:rPr>
              <w:t xml:space="preserve"> </w:t>
            </w:r>
          </w:p>
          <w:p>
            <w:pPr>
              <w:suppressAutoHyphens/>
              <w:spacing w:before="60" w:after="60"/>
              <w:jc w:val="both"/>
              <w:rPr>
                <w:iCs/>
                <w:sz w:val="22"/>
                <w:szCs w:val="22"/>
                <w:lang w:val="es-ES"/>
              </w:rPr>
            </w:pPr>
            <w:r>
              <w:rPr>
                <w:iCs/>
                <w:sz w:val="22"/>
                <w:szCs w:val="22"/>
                <w:lang w:val="es-ES"/>
              </w:rPr>
              <w:t>de la factura correspondiente, el informe de actividades por parte del Contratista con sus respectivos respaldos; el informe de satisfacción del Administrador del Contrato y Acta de Entrega Recepción Definitiva debidamente suscritos.</w:t>
            </w:r>
          </w:p>
        </w:tc>
      </w:tr>
      <w:tr>
        <w:trPr>
          <w:cantSplit/>
        </w:trPr>
        <w:tc>
          <w:tcPr>
            <w:tcW w:w="1728" w:type="dxa"/>
          </w:tcPr>
          <w:p>
            <w:pPr>
              <w:spacing w:before="60" w:after="60"/>
              <w:rPr>
                <w:sz w:val="22"/>
                <w:szCs w:val="22"/>
                <w:lang w:val="es-ES"/>
              </w:rPr>
            </w:pPr>
            <w:r>
              <w:rPr>
                <w:sz w:val="22"/>
                <w:szCs w:val="22"/>
                <w:lang w:val="es-ES"/>
              </w:rPr>
              <w:t>CGC 16.5</w:t>
            </w:r>
          </w:p>
        </w:tc>
        <w:tc>
          <w:tcPr>
            <w:tcW w:w="7380" w:type="dxa"/>
          </w:tcPr>
          <w:p>
            <w:pPr>
              <w:tabs>
                <w:tab w:val="right" w:pos="7164"/>
              </w:tabs>
              <w:spacing w:before="60" w:after="60"/>
              <w:jc w:val="both"/>
              <w:rPr>
                <w:sz w:val="22"/>
                <w:szCs w:val="22"/>
                <w:lang w:val="es-ES"/>
              </w:rPr>
            </w:pPr>
            <w:r>
              <w:rPr>
                <w:sz w:val="22"/>
                <w:szCs w:val="22"/>
                <w:lang w:val="es-ES"/>
              </w:rPr>
              <w:t>El plazo de pago después del cual el Comprador deberá pagar interés al Proveedor es: 120 días.</w:t>
            </w:r>
          </w:p>
          <w:p>
            <w:pPr>
              <w:tabs>
                <w:tab w:val="right" w:pos="7164"/>
              </w:tabs>
              <w:spacing w:before="60" w:after="60"/>
              <w:jc w:val="both"/>
              <w:rPr>
                <w:sz w:val="22"/>
                <w:szCs w:val="22"/>
                <w:lang w:val="es-ES"/>
              </w:rPr>
            </w:pPr>
          </w:p>
          <w:p>
            <w:pPr>
              <w:tabs>
                <w:tab w:val="right" w:pos="7164"/>
              </w:tabs>
              <w:spacing w:before="60" w:after="60"/>
              <w:jc w:val="both"/>
              <w:rPr>
                <w:sz w:val="22"/>
                <w:szCs w:val="22"/>
                <w:lang w:val="es-ES"/>
              </w:rPr>
            </w:pPr>
            <w:r>
              <w:rPr>
                <w:sz w:val="22"/>
                <w:szCs w:val="22"/>
                <w:lang w:val="es-ES"/>
              </w:rPr>
              <w:t>La tasa de interés que se aplicará es de la tasa activa que determine el Banco Central del Ecuador aplicable con las variaciones que ocurran durante el periodo que transcurra desde el día 121 hasta el día que efectivamente el comprador tramite el pago.</w:t>
            </w:r>
          </w:p>
          <w:p>
            <w:pPr>
              <w:tabs>
                <w:tab w:val="right" w:pos="7164"/>
              </w:tabs>
              <w:spacing w:before="60" w:after="60"/>
              <w:jc w:val="both"/>
              <w:rPr>
                <w:sz w:val="22"/>
                <w:szCs w:val="22"/>
                <w:lang w:val="es-ES"/>
              </w:rPr>
            </w:pPr>
          </w:p>
          <w:p>
            <w:pPr>
              <w:tabs>
                <w:tab w:val="right" w:pos="7164"/>
              </w:tabs>
              <w:spacing w:before="60" w:after="60"/>
              <w:jc w:val="both"/>
              <w:rPr>
                <w:sz w:val="22"/>
                <w:szCs w:val="22"/>
                <w:lang w:val="es-ES"/>
              </w:rPr>
            </w:pPr>
            <w:r>
              <w:rPr>
                <w:sz w:val="22"/>
                <w:szCs w:val="22"/>
                <w:lang w:val="es-ES"/>
              </w:rPr>
              <w:t>Este plazo no contempla el tiempo que tome el Ministerio de Economía y Finanzas en hacer efectiva las transferencias.</w:t>
            </w:r>
          </w:p>
        </w:tc>
      </w:tr>
      <w:tr>
        <w:tc>
          <w:tcPr>
            <w:tcW w:w="1728" w:type="dxa"/>
          </w:tcPr>
          <w:p>
            <w:pPr>
              <w:spacing w:before="60" w:after="60"/>
              <w:jc w:val="both"/>
              <w:rPr>
                <w:sz w:val="22"/>
                <w:szCs w:val="22"/>
                <w:lang w:val="es-ES"/>
              </w:rPr>
            </w:pPr>
            <w:r>
              <w:rPr>
                <w:sz w:val="22"/>
                <w:szCs w:val="22"/>
                <w:lang w:val="es-ES"/>
              </w:rPr>
              <w:t>CGC 18.1</w:t>
            </w:r>
          </w:p>
        </w:tc>
        <w:tc>
          <w:tcPr>
            <w:tcW w:w="7380" w:type="dxa"/>
          </w:tcPr>
          <w:p>
            <w:pPr>
              <w:tabs>
                <w:tab w:val="right" w:pos="7164"/>
              </w:tabs>
              <w:spacing w:before="60" w:after="60"/>
              <w:jc w:val="both"/>
              <w:rPr>
                <w:color w:val="0070C0"/>
                <w:sz w:val="22"/>
                <w:szCs w:val="22"/>
                <w:lang w:val="es-ES"/>
              </w:rPr>
            </w:pPr>
            <w:r>
              <w:rPr>
                <w:sz w:val="22"/>
                <w:szCs w:val="22"/>
                <w:lang w:val="es-ES"/>
              </w:rPr>
              <w:t>No se requerirá una Garantía de Cumplimiento.</w:t>
            </w:r>
          </w:p>
        </w:tc>
      </w:tr>
      <w:tr>
        <w:trPr>
          <w:cantSplit/>
          <w:trHeight w:val="55"/>
        </w:trPr>
        <w:tc>
          <w:tcPr>
            <w:tcW w:w="1728" w:type="dxa"/>
          </w:tcPr>
          <w:p>
            <w:pPr>
              <w:spacing w:before="60" w:after="60"/>
              <w:jc w:val="both"/>
              <w:rPr>
                <w:sz w:val="22"/>
                <w:szCs w:val="22"/>
                <w:lang w:val="es-ES"/>
              </w:rPr>
            </w:pPr>
            <w:r>
              <w:rPr>
                <w:sz w:val="22"/>
                <w:szCs w:val="22"/>
                <w:lang w:val="es-ES"/>
              </w:rPr>
              <w:t>CGC 18.3</w:t>
            </w:r>
          </w:p>
        </w:tc>
        <w:tc>
          <w:tcPr>
            <w:tcW w:w="7380" w:type="dxa"/>
          </w:tcPr>
          <w:p>
            <w:pPr>
              <w:tabs>
                <w:tab w:val="right" w:pos="7164"/>
              </w:tabs>
              <w:spacing w:before="60" w:after="60"/>
              <w:jc w:val="both"/>
              <w:rPr>
                <w:sz w:val="22"/>
                <w:szCs w:val="22"/>
                <w:lang w:val="es-ES"/>
              </w:rPr>
            </w:pPr>
            <w:r>
              <w:rPr>
                <w:sz w:val="22"/>
                <w:szCs w:val="22"/>
              </w:rPr>
              <w:t>No Aplica</w:t>
            </w:r>
          </w:p>
        </w:tc>
      </w:tr>
      <w:tr>
        <w:trPr>
          <w:cantSplit/>
        </w:trPr>
        <w:tc>
          <w:tcPr>
            <w:tcW w:w="1728" w:type="dxa"/>
          </w:tcPr>
          <w:p>
            <w:pPr>
              <w:spacing w:before="60" w:after="60"/>
              <w:jc w:val="both"/>
              <w:rPr>
                <w:sz w:val="22"/>
                <w:szCs w:val="22"/>
                <w:lang w:val="es-ES"/>
              </w:rPr>
            </w:pPr>
            <w:r>
              <w:rPr>
                <w:sz w:val="22"/>
                <w:szCs w:val="22"/>
                <w:lang w:val="es-ES"/>
              </w:rPr>
              <w:t>CGC 18.4</w:t>
            </w:r>
          </w:p>
        </w:tc>
        <w:tc>
          <w:tcPr>
            <w:tcW w:w="7380" w:type="dxa"/>
          </w:tcPr>
          <w:p>
            <w:pPr>
              <w:tabs>
                <w:tab w:val="right" w:pos="7164"/>
              </w:tabs>
              <w:spacing w:before="60" w:after="60"/>
              <w:jc w:val="both"/>
              <w:rPr>
                <w:sz w:val="22"/>
                <w:szCs w:val="22"/>
                <w:lang w:val="es-ES"/>
              </w:rPr>
            </w:pPr>
            <w:r>
              <w:rPr>
                <w:sz w:val="22"/>
                <w:szCs w:val="22"/>
                <w:lang w:val="es-ES"/>
              </w:rPr>
              <w:t>No Aplica</w:t>
            </w:r>
          </w:p>
        </w:tc>
      </w:tr>
      <w:tr>
        <w:trPr>
          <w:cantSplit/>
        </w:trPr>
        <w:tc>
          <w:tcPr>
            <w:tcW w:w="1728" w:type="dxa"/>
          </w:tcPr>
          <w:p>
            <w:pPr>
              <w:spacing w:before="60" w:after="60"/>
              <w:jc w:val="both"/>
              <w:rPr>
                <w:sz w:val="22"/>
                <w:szCs w:val="22"/>
                <w:lang w:val="es-ES"/>
              </w:rPr>
            </w:pPr>
            <w:r>
              <w:rPr>
                <w:sz w:val="22"/>
                <w:szCs w:val="22"/>
                <w:lang w:val="es-ES"/>
              </w:rPr>
              <w:t>CGC 23.2</w:t>
            </w:r>
          </w:p>
        </w:tc>
        <w:tc>
          <w:tcPr>
            <w:tcW w:w="7380" w:type="dxa"/>
          </w:tcPr>
          <w:p>
            <w:pPr>
              <w:tabs>
                <w:tab w:val="right" w:pos="7164"/>
              </w:tabs>
              <w:spacing w:before="60" w:after="60"/>
              <w:jc w:val="both"/>
              <w:rPr>
                <w:sz w:val="22"/>
                <w:szCs w:val="22"/>
                <w:lang w:val="es-ES"/>
              </w:rPr>
            </w:pPr>
            <w:r>
              <w:rPr>
                <w:sz w:val="22"/>
                <w:szCs w:val="22"/>
                <w:lang w:val="es-ES"/>
              </w:rPr>
              <w:t>No Aplica</w:t>
            </w:r>
          </w:p>
        </w:tc>
      </w:tr>
      <w:tr>
        <w:trPr>
          <w:cantSplit/>
        </w:trPr>
        <w:tc>
          <w:tcPr>
            <w:tcW w:w="1728" w:type="dxa"/>
          </w:tcPr>
          <w:p>
            <w:pPr>
              <w:spacing w:before="60" w:after="60"/>
              <w:jc w:val="both"/>
              <w:rPr>
                <w:sz w:val="22"/>
                <w:szCs w:val="22"/>
                <w:lang w:val="es-ES"/>
              </w:rPr>
            </w:pPr>
            <w:r>
              <w:rPr>
                <w:sz w:val="22"/>
                <w:szCs w:val="22"/>
                <w:lang w:val="es-ES"/>
              </w:rPr>
              <w:t>CGC 24.1</w:t>
            </w:r>
          </w:p>
        </w:tc>
        <w:tc>
          <w:tcPr>
            <w:tcW w:w="7380" w:type="dxa"/>
          </w:tcPr>
          <w:p>
            <w:pPr>
              <w:tabs>
                <w:tab w:val="right" w:pos="7164"/>
              </w:tabs>
              <w:spacing w:before="60" w:after="60"/>
              <w:jc w:val="both"/>
              <w:rPr>
                <w:sz w:val="22"/>
                <w:szCs w:val="22"/>
                <w:lang w:val="es-ES"/>
              </w:rPr>
            </w:pPr>
            <w:r>
              <w:rPr>
                <w:sz w:val="22"/>
                <w:szCs w:val="22"/>
                <w:lang w:val="es-ES"/>
              </w:rPr>
              <w:t>No Aplica</w:t>
            </w:r>
          </w:p>
        </w:tc>
      </w:tr>
      <w:tr>
        <w:tc>
          <w:tcPr>
            <w:tcW w:w="1728" w:type="dxa"/>
          </w:tcPr>
          <w:p>
            <w:pPr>
              <w:spacing w:before="60" w:after="60"/>
              <w:jc w:val="both"/>
              <w:rPr>
                <w:sz w:val="22"/>
                <w:szCs w:val="22"/>
                <w:lang w:val="es-ES"/>
              </w:rPr>
            </w:pPr>
            <w:r>
              <w:rPr>
                <w:sz w:val="22"/>
                <w:szCs w:val="22"/>
                <w:lang w:val="es-ES"/>
              </w:rPr>
              <w:t>CGC 25.1</w:t>
            </w:r>
          </w:p>
        </w:tc>
        <w:tc>
          <w:tcPr>
            <w:tcW w:w="7380" w:type="dxa"/>
          </w:tcPr>
          <w:p>
            <w:pPr>
              <w:tabs>
                <w:tab w:val="right" w:pos="7164"/>
              </w:tabs>
              <w:spacing w:before="60" w:after="60"/>
              <w:jc w:val="both"/>
              <w:rPr>
                <w:sz w:val="22"/>
                <w:szCs w:val="22"/>
                <w:lang w:val="es-ES"/>
              </w:rPr>
            </w:pPr>
            <w:r>
              <w:rPr>
                <w:sz w:val="22"/>
                <w:szCs w:val="22"/>
                <w:lang w:val="es-ES"/>
              </w:rPr>
              <w:t>No Aplica</w:t>
            </w:r>
          </w:p>
        </w:tc>
      </w:tr>
      <w:tr>
        <w:trPr>
          <w:cantSplit/>
        </w:trPr>
        <w:tc>
          <w:tcPr>
            <w:tcW w:w="1728" w:type="dxa"/>
          </w:tcPr>
          <w:p>
            <w:pPr>
              <w:spacing w:before="60" w:after="60"/>
              <w:rPr>
                <w:sz w:val="22"/>
                <w:szCs w:val="22"/>
                <w:lang w:val="es-ES"/>
              </w:rPr>
            </w:pPr>
            <w:r>
              <w:rPr>
                <w:sz w:val="22"/>
                <w:szCs w:val="22"/>
                <w:lang w:val="es-ES"/>
              </w:rPr>
              <w:t>CGC 26.1</w:t>
            </w:r>
          </w:p>
        </w:tc>
        <w:tc>
          <w:tcPr>
            <w:tcW w:w="7380" w:type="dxa"/>
          </w:tcPr>
          <w:p>
            <w:pPr>
              <w:tabs>
                <w:tab w:val="right" w:pos="7164"/>
              </w:tabs>
              <w:spacing w:before="60" w:after="60"/>
              <w:jc w:val="both"/>
              <w:rPr>
                <w:sz w:val="22"/>
                <w:szCs w:val="22"/>
                <w:lang w:val="es-ES"/>
              </w:rPr>
            </w:pPr>
            <w:r>
              <w:rPr>
                <w:sz w:val="22"/>
                <w:szCs w:val="22"/>
                <w:lang w:val="es-ES"/>
              </w:rPr>
              <w:t>No Aplica</w:t>
            </w:r>
          </w:p>
        </w:tc>
      </w:tr>
      <w:tr>
        <w:trPr>
          <w:cantSplit/>
        </w:trPr>
        <w:tc>
          <w:tcPr>
            <w:tcW w:w="1728" w:type="dxa"/>
          </w:tcPr>
          <w:p>
            <w:pPr>
              <w:spacing w:before="60" w:after="60"/>
              <w:rPr>
                <w:sz w:val="22"/>
                <w:szCs w:val="22"/>
                <w:lang w:val="es-ES"/>
              </w:rPr>
            </w:pPr>
            <w:r>
              <w:rPr>
                <w:sz w:val="22"/>
                <w:szCs w:val="22"/>
                <w:lang w:val="es-ES"/>
              </w:rPr>
              <w:t>CGC 26.2</w:t>
            </w:r>
          </w:p>
        </w:tc>
        <w:tc>
          <w:tcPr>
            <w:tcW w:w="7380" w:type="dxa"/>
          </w:tcPr>
          <w:p>
            <w:pPr>
              <w:tabs>
                <w:tab w:val="right" w:pos="7164"/>
              </w:tabs>
              <w:spacing w:before="60" w:after="60"/>
              <w:jc w:val="both"/>
              <w:rPr>
                <w:sz w:val="22"/>
                <w:szCs w:val="22"/>
                <w:u w:val="single"/>
                <w:lang w:val="es-ES"/>
              </w:rPr>
            </w:pPr>
            <w:r>
              <w:rPr>
                <w:sz w:val="22"/>
                <w:szCs w:val="22"/>
                <w:lang w:val="es-ES"/>
              </w:rPr>
              <w:t>No Aplica</w:t>
            </w:r>
          </w:p>
        </w:tc>
      </w:tr>
      <w:tr>
        <w:trPr>
          <w:cantSplit/>
        </w:trPr>
        <w:tc>
          <w:tcPr>
            <w:tcW w:w="1728" w:type="dxa"/>
          </w:tcPr>
          <w:p>
            <w:pPr>
              <w:spacing w:before="60" w:after="60"/>
              <w:rPr>
                <w:sz w:val="22"/>
                <w:szCs w:val="22"/>
                <w:lang w:val="es-ES"/>
              </w:rPr>
            </w:pPr>
            <w:r>
              <w:rPr>
                <w:sz w:val="22"/>
                <w:szCs w:val="22"/>
                <w:lang w:val="es-ES"/>
              </w:rPr>
              <w:t>CGC 27.1</w:t>
            </w:r>
          </w:p>
        </w:tc>
        <w:tc>
          <w:tcPr>
            <w:tcW w:w="7380" w:type="dxa"/>
          </w:tcPr>
          <w:p>
            <w:pPr>
              <w:tabs>
                <w:tab w:val="right" w:pos="7164"/>
              </w:tabs>
              <w:spacing w:before="60" w:after="60"/>
              <w:jc w:val="both"/>
              <w:rPr>
                <w:sz w:val="22"/>
                <w:szCs w:val="22"/>
                <w:lang w:val="es-ES"/>
              </w:rPr>
            </w:pPr>
            <w:r>
              <w:rPr>
                <w:sz w:val="22"/>
                <w:szCs w:val="22"/>
                <w:lang w:val="es-ES"/>
              </w:rPr>
              <w:t>El valor de la liquidación por daños y perjuicios será del 1 por 1000, por cada día de retraso del servicio requerido. Los daños y perjuicios se calcularán sobre el porcentaje de las obligaciones que se encuentran pendientes de ejecutarse conforme lo establecido en el contrato, excepto en el evento de caso fortuito o fuerza mayor calificado por el contratante o por causas imputables a esta Entidad.</w:t>
            </w:r>
          </w:p>
          <w:p>
            <w:pPr>
              <w:tabs>
                <w:tab w:val="right" w:pos="7164"/>
              </w:tabs>
              <w:spacing w:before="60" w:after="60"/>
              <w:jc w:val="both"/>
              <w:rPr>
                <w:sz w:val="22"/>
                <w:szCs w:val="22"/>
                <w:lang w:val="es-ES"/>
              </w:rPr>
            </w:pPr>
          </w:p>
          <w:p>
            <w:pPr>
              <w:tabs>
                <w:tab w:val="right" w:pos="7164"/>
              </w:tabs>
              <w:spacing w:before="60" w:after="60"/>
              <w:jc w:val="both"/>
              <w:rPr>
                <w:sz w:val="22"/>
                <w:szCs w:val="22"/>
                <w:u w:val="single"/>
                <w:lang w:val="es-ES"/>
              </w:rPr>
            </w:pPr>
            <w:r>
              <w:rPr>
                <w:sz w:val="22"/>
                <w:szCs w:val="22"/>
                <w:lang w:val="es-ES"/>
              </w:rPr>
              <w:t>El monto máximo de la liquidación por daños y perjuicios a causa de la demora será: 5% del precio del contrato. Si se llegare a este valor el Contratante podrá terminar el contrato unilateralmente, luego del análisis respectivo de acuerdo con el equilibrio económico del contrato.</w:t>
            </w:r>
          </w:p>
        </w:tc>
      </w:tr>
      <w:tr>
        <w:trPr>
          <w:cantSplit/>
        </w:trPr>
        <w:tc>
          <w:tcPr>
            <w:tcW w:w="1728" w:type="dxa"/>
          </w:tcPr>
          <w:p>
            <w:pPr>
              <w:spacing w:before="60" w:after="60"/>
              <w:jc w:val="both"/>
              <w:rPr>
                <w:sz w:val="22"/>
                <w:szCs w:val="22"/>
                <w:lang w:val="es-ES"/>
              </w:rPr>
            </w:pPr>
            <w:r>
              <w:rPr>
                <w:sz w:val="22"/>
                <w:szCs w:val="22"/>
                <w:lang w:val="es-ES"/>
              </w:rPr>
              <w:t>CGC 28.1</w:t>
            </w:r>
          </w:p>
        </w:tc>
        <w:tc>
          <w:tcPr>
            <w:tcW w:w="7380" w:type="dxa"/>
          </w:tcPr>
          <w:p>
            <w:pPr>
              <w:tabs>
                <w:tab w:val="right" w:pos="7164"/>
              </w:tabs>
              <w:spacing w:before="60" w:after="60"/>
              <w:jc w:val="both"/>
              <w:rPr>
                <w:iCs/>
                <w:sz w:val="22"/>
                <w:szCs w:val="22"/>
                <w:lang w:val="es-ES"/>
              </w:rPr>
            </w:pPr>
            <w:r>
              <w:rPr>
                <w:iCs/>
                <w:sz w:val="22"/>
                <w:szCs w:val="22"/>
                <w:lang w:val="es-ES"/>
              </w:rPr>
              <w:t>No Aplica</w:t>
            </w:r>
          </w:p>
        </w:tc>
      </w:tr>
      <w:tr>
        <w:trPr>
          <w:cantSplit/>
        </w:trPr>
        <w:tc>
          <w:tcPr>
            <w:tcW w:w="1728" w:type="dxa"/>
          </w:tcPr>
          <w:p>
            <w:pPr>
              <w:spacing w:before="60" w:after="60"/>
              <w:jc w:val="both"/>
              <w:rPr>
                <w:sz w:val="22"/>
                <w:szCs w:val="22"/>
                <w:lang w:val="es-ES"/>
              </w:rPr>
            </w:pPr>
            <w:r>
              <w:rPr>
                <w:sz w:val="22"/>
                <w:szCs w:val="22"/>
                <w:lang w:val="es-ES"/>
              </w:rPr>
              <w:t>CGC 28.3</w:t>
            </w:r>
          </w:p>
        </w:tc>
        <w:tc>
          <w:tcPr>
            <w:tcW w:w="7380" w:type="dxa"/>
          </w:tcPr>
          <w:p>
            <w:pPr>
              <w:tabs>
                <w:tab w:val="right" w:pos="7164"/>
              </w:tabs>
              <w:spacing w:before="60" w:after="60"/>
              <w:jc w:val="both"/>
              <w:rPr>
                <w:sz w:val="22"/>
                <w:szCs w:val="22"/>
                <w:lang w:val="es-ES"/>
              </w:rPr>
            </w:pPr>
            <w:r>
              <w:rPr>
                <w:sz w:val="22"/>
                <w:szCs w:val="22"/>
                <w:lang w:val="es-ES"/>
              </w:rPr>
              <w:t>No Aplica</w:t>
            </w:r>
          </w:p>
        </w:tc>
      </w:tr>
      <w:tr>
        <w:trPr>
          <w:cantSplit/>
        </w:trPr>
        <w:tc>
          <w:tcPr>
            <w:tcW w:w="1728" w:type="dxa"/>
          </w:tcPr>
          <w:p>
            <w:pPr>
              <w:spacing w:before="60" w:after="60"/>
              <w:jc w:val="both"/>
              <w:rPr>
                <w:sz w:val="22"/>
                <w:szCs w:val="22"/>
                <w:lang w:val="es-ES"/>
              </w:rPr>
            </w:pPr>
            <w:r>
              <w:rPr>
                <w:sz w:val="22"/>
                <w:szCs w:val="22"/>
                <w:lang w:val="es-ES"/>
              </w:rPr>
              <w:t>CGC 28.5</w:t>
            </w:r>
          </w:p>
        </w:tc>
        <w:tc>
          <w:tcPr>
            <w:tcW w:w="7380" w:type="dxa"/>
          </w:tcPr>
          <w:p>
            <w:pPr>
              <w:tabs>
                <w:tab w:val="right" w:pos="7164"/>
              </w:tabs>
              <w:spacing w:before="60" w:after="60"/>
              <w:jc w:val="both"/>
              <w:rPr>
                <w:sz w:val="22"/>
                <w:szCs w:val="22"/>
                <w:u w:val="single"/>
                <w:lang w:val="es-ES"/>
              </w:rPr>
            </w:pPr>
            <w:r>
              <w:rPr>
                <w:sz w:val="22"/>
                <w:szCs w:val="22"/>
                <w:lang w:val="es-ES"/>
              </w:rPr>
              <w:t>No Aplica</w:t>
            </w:r>
          </w:p>
        </w:tc>
      </w:tr>
    </w:tbl>
    <w:p>
      <w:pPr>
        <w:spacing w:before="60" w:after="60"/>
        <w:ind w:left="1260"/>
        <w:jc w:val="both"/>
        <w:rPr>
          <w:lang w:val="es-ES"/>
        </w:rPr>
      </w:pPr>
    </w:p>
    <w:p>
      <w:pPr>
        <w:rPr>
          <w:lang w:val="es-ES"/>
        </w:rPr>
      </w:pPr>
    </w:p>
    <w:p>
      <w:pPr>
        <w:rPr>
          <w:lang w:val="es-ES"/>
        </w:rPr>
      </w:pPr>
    </w:p>
    <w:p>
      <w:pPr>
        <w:keepNext/>
        <w:keepLines/>
        <w:spacing w:before="240"/>
        <w:jc w:val="center"/>
        <w:outlineLvl w:val="1"/>
        <w:rPr>
          <w:b/>
          <w:sz w:val="22"/>
          <w:szCs w:val="22"/>
          <w:lang w:val="es-ES"/>
        </w:rPr>
      </w:pPr>
      <w:bookmarkStart w:id="808" w:name="_Toc403379179"/>
      <w:r>
        <w:rPr>
          <w:b/>
          <w:sz w:val="22"/>
          <w:szCs w:val="22"/>
          <w:lang w:val="es-ES"/>
        </w:rPr>
        <w:lastRenderedPageBreak/>
        <w:t>Anexo 1: Fórmula de Ajuste de Precios</w:t>
      </w:r>
      <w:bookmarkEnd w:id="808"/>
    </w:p>
    <w:p>
      <w:pPr>
        <w:suppressAutoHyphens/>
        <w:spacing w:before="60" w:after="60"/>
        <w:jc w:val="center"/>
        <w:rPr>
          <w:b/>
          <w:sz w:val="22"/>
          <w:szCs w:val="22"/>
          <w:lang w:val="es-ES"/>
        </w:rPr>
      </w:pPr>
      <w:r>
        <w:rPr>
          <w:b/>
          <w:sz w:val="22"/>
          <w:szCs w:val="22"/>
          <w:lang w:val="es-ES"/>
        </w:rPr>
        <w:t>NO APLICA</w:t>
      </w:r>
    </w:p>
    <w:p>
      <w:pPr>
        <w:suppressAutoHyphens/>
        <w:spacing w:before="60" w:after="60"/>
        <w:jc w:val="both"/>
        <w:rPr>
          <w:sz w:val="22"/>
          <w:szCs w:val="22"/>
          <w:lang w:val="es-ES"/>
        </w:rPr>
      </w:pPr>
      <w:r>
        <w:rPr>
          <w:sz w:val="22"/>
          <w:szCs w:val="22"/>
          <w:lang w:val="es-ES"/>
        </w:rPr>
        <w:t>Si de conformidad con la Cláusula 15.2, los precios son ajustables, el siguiente método será utilizado para calcular el ajuste de los precios:</w:t>
      </w:r>
    </w:p>
    <w:p>
      <w:pPr>
        <w:suppressAutoHyphens/>
        <w:spacing w:before="60" w:after="60"/>
        <w:ind w:left="720" w:hanging="720"/>
        <w:jc w:val="both"/>
        <w:rPr>
          <w:sz w:val="22"/>
          <w:szCs w:val="22"/>
          <w:lang w:val="es-ES"/>
        </w:rPr>
      </w:pPr>
      <w:r>
        <w:rPr>
          <w:sz w:val="22"/>
          <w:szCs w:val="22"/>
          <w:lang w:val="es-ES"/>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pPr>
        <w:suppressAutoHyphens/>
        <w:jc w:val="both"/>
        <w:rPr>
          <w:sz w:val="22"/>
          <w:szCs w:val="22"/>
        </w:rPr>
      </w:pPr>
      <w:r>
        <w:rPr>
          <w:sz w:val="22"/>
          <w:szCs w:val="22"/>
          <w:lang w:val="es-ES"/>
        </w:rPr>
        <w:t xml:space="preserve">                                                               </w:t>
      </w:r>
      <w:r>
        <w:rPr>
          <w:sz w:val="22"/>
          <w:szCs w:val="22"/>
        </w:rPr>
        <w:t>P</w:t>
      </w:r>
      <w:r>
        <w:rPr>
          <w:sz w:val="22"/>
          <w:szCs w:val="22"/>
          <w:vertAlign w:val="subscript"/>
        </w:rPr>
        <w:t>1</w:t>
      </w:r>
      <w:r>
        <w:rPr>
          <w:sz w:val="22"/>
          <w:szCs w:val="22"/>
        </w:rPr>
        <w:t xml:space="preserve"> = P</w:t>
      </w:r>
      <w:r>
        <w:rPr>
          <w:sz w:val="22"/>
          <w:szCs w:val="22"/>
          <w:vertAlign w:val="subscript"/>
        </w:rPr>
        <w:t>0</w:t>
      </w:r>
      <w:r>
        <w:rPr>
          <w:sz w:val="22"/>
          <w:szCs w:val="22"/>
        </w:rPr>
        <w:t xml:space="preserve"> [a + </w:t>
      </w:r>
      <w:r>
        <w:rPr>
          <w:sz w:val="22"/>
          <w:szCs w:val="22"/>
          <w:u w:val="single"/>
        </w:rPr>
        <w:t>bL</w:t>
      </w:r>
      <w:r>
        <w:rPr>
          <w:sz w:val="22"/>
          <w:szCs w:val="22"/>
          <w:vertAlign w:val="subscript"/>
        </w:rPr>
        <w:t>1</w:t>
      </w:r>
      <w:r>
        <w:rPr>
          <w:sz w:val="22"/>
          <w:szCs w:val="22"/>
        </w:rPr>
        <w:t xml:space="preserve"> + </w:t>
      </w:r>
      <w:r>
        <w:rPr>
          <w:sz w:val="22"/>
          <w:szCs w:val="22"/>
          <w:u w:val="single"/>
        </w:rPr>
        <w:t>cM</w:t>
      </w:r>
      <w:r>
        <w:rPr>
          <w:sz w:val="22"/>
          <w:szCs w:val="22"/>
          <w:vertAlign w:val="subscript"/>
        </w:rPr>
        <w:t>1</w:t>
      </w:r>
      <w:r>
        <w:rPr>
          <w:sz w:val="22"/>
          <w:szCs w:val="22"/>
        </w:rPr>
        <w:t>] - P</w:t>
      </w:r>
      <w:r>
        <w:rPr>
          <w:sz w:val="22"/>
          <w:szCs w:val="22"/>
          <w:vertAlign w:val="subscript"/>
        </w:rPr>
        <w:t>0</w:t>
      </w:r>
    </w:p>
    <w:p>
      <w:pPr>
        <w:tabs>
          <w:tab w:val="left" w:pos="4410"/>
          <w:tab w:val="left" w:pos="4950"/>
        </w:tabs>
        <w:suppressAutoHyphens/>
        <w:jc w:val="both"/>
        <w:rPr>
          <w:sz w:val="22"/>
          <w:szCs w:val="22"/>
        </w:rPr>
      </w:pPr>
      <w:r>
        <w:rPr>
          <w:sz w:val="22"/>
          <w:szCs w:val="22"/>
        </w:rPr>
        <w:tab/>
        <w:t>L</w:t>
      </w:r>
      <w:r>
        <w:rPr>
          <w:sz w:val="22"/>
          <w:szCs w:val="22"/>
          <w:vertAlign w:val="subscript"/>
        </w:rPr>
        <w:t>0</w:t>
      </w:r>
      <w:r>
        <w:rPr>
          <w:sz w:val="22"/>
          <w:szCs w:val="22"/>
        </w:rPr>
        <w:tab/>
        <w:t xml:space="preserve"> M</w:t>
      </w:r>
      <w:r>
        <w:rPr>
          <w:sz w:val="22"/>
          <w:szCs w:val="22"/>
          <w:vertAlign w:val="subscript"/>
        </w:rPr>
        <w:t>0</w:t>
      </w:r>
    </w:p>
    <w:p>
      <w:pPr>
        <w:suppressAutoHyphens/>
        <w:spacing w:before="60" w:after="60"/>
        <w:ind w:left="2131" w:hanging="2131"/>
        <w:jc w:val="center"/>
        <w:rPr>
          <w:sz w:val="22"/>
          <w:szCs w:val="22"/>
          <w:lang w:val="es-ES"/>
        </w:rPr>
      </w:pPr>
      <w:r>
        <w:rPr>
          <w:sz w:val="22"/>
          <w:szCs w:val="22"/>
          <w:lang w:val="es-ES"/>
        </w:rPr>
        <w:t>a+b+c = 1</w:t>
      </w:r>
    </w:p>
    <w:p>
      <w:pPr>
        <w:tabs>
          <w:tab w:val="left" w:pos="1440"/>
          <w:tab w:val="left" w:pos="1800"/>
        </w:tabs>
        <w:suppressAutoHyphens/>
        <w:spacing w:before="60" w:after="60"/>
        <w:ind w:left="1800" w:hanging="1260"/>
        <w:jc w:val="both"/>
        <w:rPr>
          <w:sz w:val="22"/>
          <w:szCs w:val="22"/>
          <w:lang w:val="es-ES"/>
        </w:rPr>
      </w:pPr>
      <w:r>
        <w:rPr>
          <w:sz w:val="22"/>
          <w:szCs w:val="22"/>
          <w:lang w:val="es-ES"/>
        </w:rPr>
        <w:t>Dónde:</w:t>
      </w:r>
    </w:p>
    <w:p>
      <w:pPr>
        <w:tabs>
          <w:tab w:val="left" w:pos="1440"/>
          <w:tab w:val="left" w:pos="1800"/>
        </w:tabs>
        <w:suppressAutoHyphens/>
        <w:spacing w:before="60" w:after="60"/>
        <w:ind w:left="1800" w:hanging="1260"/>
        <w:jc w:val="both"/>
        <w:rPr>
          <w:sz w:val="22"/>
          <w:szCs w:val="22"/>
          <w:lang w:val="es-ES"/>
        </w:rPr>
      </w:pPr>
      <w:r>
        <w:rPr>
          <w:sz w:val="22"/>
          <w:szCs w:val="22"/>
          <w:lang w:val="es-ES"/>
        </w:rPr>
        <w:t>P</w:t>
      </w:r>
      <w:r>
        <w:rPr>
          <w:sz w:val="22"/>
          <w:szCs w:val="22"/>
          <w:vertAlign w:val="subscript"/>
          <w:lang w:val="es-ES"/>
        </w:rPr>
        <w:t>1</w:t>
      </w:r>
      <w:r>
        <w:rPr>
          <w:sz w:val="22"/>
          <w:szCs w:val="22"/>
          <w:lang w:val="es-ES"/>
        </w:rPr>
        <w:tab/>
        <w:t>=</w:t>
      </w:r>
      <w:r>
        <w:rPr>
          <w:sz w:val="22"/>
          <w:szCs w:val="22"/>
          <w:lang w:val="es-ES"/>
        </w:rPr>
        <w:tab/>
        <w:t>ajuste pagadero al Proveedor</w:t>
      </w:r>
    </w:p>
    <w:p>
      <w:pPr>
        <w:tabs>
          <w:tab w:val="left" w:pos="1440"/>
          <w:tab w:val="left" w:pos="1800"/>
        </w:tabs>
        <w:suppressAutoHyphens/>
        <w:spacing w:before="60" w:after="60"/>
        <w:ind w:left="1800" w:hanging="1260"/>
        <w:jc w:val="both"/>
        <w:rPr>
          <w:sz w:val="22"/>
          <w:szCs w:val="22"/>
          <w:lang w:val="es-ES"/>
        </w:rPr>
      </w:pPr>
      <w:r>
        <w:rPr>
          <w:sz w:val="22"/>
          <w:szCs w:val="22"/>
          <w:lang w:val="es-ES"/>
        </w:rPr>
        <w:t>P</w:t>
      </w:r>
      <w:r>
        <w:rPr>
          <w:sz w:val="22"/>
          <w:szCs w:val="22"/>
          <w:vertAlign w:val="subscript"/>
          <w:lang w:val="es-ES"/>
        </w:rPr>
        <w:t>0</w:t>
      </w:r>
      <w:r>
        <w:rPr>
          <w:sz w:val="22"/>
          <w:szCs w:val="22"/>
          <w:lang w:val="es-ES"/>
        </w:rPr>
        <w:tab/>
        <w:t>=</w:t>
      </w:r>
      <w:r>
        <w:rPr>
          <w:sz w:val="22"/>
          <w:szCs w:val="22"/>
          <w:lang w:val="es-ES"/>
        </w:rPr>
        <w:tab/>
        <w:t>Precio del Contrato (precio básico)</w:t>
      </w:r>
    </w:p>
    <w:p>
      <w:pPr>
        <w:tabs>
          <w:tab w:val="left" w:pos="1440"/>
          <w:tab w:val="left" w:pos="1800"/>
        </w:tabs>
        <w:suppressAutoHyphens/>
        <w:spacing w:before="60" w:after="60"/>
        <w:ind w:left="1800" w:hanging="1260"/>
        <w:jc w:val="both"/>
        <w:rPr>
          <w:sz w:val="22"/>
          <w:szCs w:val="22"/>
          <w:lang w:val="es-ES"/>
        </w:rPr>
      </w:pPr>
      <w:r>
        <w:rPr>
          <w:sz w:val="22"/>
          <w:szCs w:val="22"/>
          <w:lang w:val="es-ES"/>
        </w:rPr>
        <w:t>a</w:t>
      </w:r>
      <w:r>
        <w:rPr>
          <w:sz w:val="22"/>
          <w:szCs w:val="22"/>
          <w:lang w:val="es-ES"/>
        </w:rPr>
        <w:tab/>
        <w:t>=</w:t>
      </w:r>
      <w:r>
        <w:rPr>
          <w:sz w:val="22"/>
          <w:szCs w:val="22"/>
          <w:lang w:val="es-ES"/>
        </w:rPr>
        <w:tab/>
        <w:t>elemento fijo que representa utilidades y gastos generales incluidos en el Precio del Contrato, que comúnmente se establece entre el cinco por ciento (5%) y el quince por ciento (15%).</w:t>
      </w:r>
    </w:p>
    <w:p>
      <w:pPr>
        <w:tabs>
          <w:tab w:val="left" w:pos="1440"/>
          <w:tab w:val="left" w:pos="1800"/>
        </w:tabs>
        <w:suppressAutoHyphens/>
        <w:spacing w:before="60" w:after="60"/>
        <w:ind w:left="1800" w:hanging="1260"/>
        <w:jc w:val="both"/>
        <w:rPr>
          <w:sz w:val="22"/>
          <w:szCs w:val="22"/>
          <w:lang w:val="es-ES"/>
        </w:rPr>
      </w:pPr>
      <w:r>
        <w:rPr>
          <w:sz w:val="22"/>
          <w:szCs w:val="22"/>
          <w:lang w:val="es-ES"/>
        </w:rPr>
        <w:t>b</w:t>
      </w:r>
      <w:r>
        <w:rPr>
          <w:sz w:val="22"/>
          <w:szCs w:val="22"/>
          <w:lang w:val="es-ES"/>
        </w:rPr>
        <w:tab/>
        <w:t>=</w:t>
      </w:r>
      <w:r>
        <w:rPr>
          <w:sz w:val="22"/>
          <w:szCs w:val="22"/>
          <w:lang w:val="es-ES"/>
        </w:rPr>
        <w:tab/>
        <w:t>porcentaje estimado del Precio del Contrato correspondiente a la mano de obra.</w:t>
      </w:r>
    </w:p>
    <w:p>
      <w:pPr>
        <w:tabs>
          <w:tab w:val="left" w:pos="1440"/>
          <w:tab w:val="left" w:pos="1800"/>
        </w:tabs>
        <w:suppressAutoHyphens/>
        <w:spacing w:before="60" w:after="60"/>
        <w:ind w:left="1800" w:hanging="1260"/>
        <w:jc w:val="both"/>
        <w:rPr>
          <w:sz w:val="22"/>
          <w:szCs w:val="22"/>
          <w:lang w:val="es-ES"/>
        </w:rPr>
      </w:pPr>
      <w:r>
        <w:rPr>
          <w:sz w:val="22"/>
          <w:szCs w:val="22"/>
          <w:lang w:val="es-ES"/>
        </w:rPr>
        <w:t>c</w:t>
      </w:r>
      <w:r>
        <w:rPr>
          <w:sz w:val="22"/>
          <w:szCs w:val="22"/>
          <w:lang w:val="es-ES"/>
        </w:rPr>
        <w:tab/>
        <w:t>=</w:t>
      </w:r>
      <w:r>
        <w:rPr>
          <w:sz w:val="22"/>
          <w:szCs w:val="22"/>
          <w:lang w:val="es-ES"/>
        </w:rPr>
        <w:tab/>
        <w:t>porcentaje estimado del Precio del Contrato correspondiente a los materiales.</w:t>
      </w:r>
    </w:p>
    <w:p>
      <w:pPr>
        <w:tabs>
          <w:tab w:val="left" w:pos="1440"/>
          <w:tab w:val="left" w:pos="1800"/>
        </w:tabs>
        <w:suppressAutoHyphens/>
        <w:spacing w:before="60" w:after="60"/>
        <w:ind w:left="1800" w:hanging="1260"/>
        <w:jc w:val="both"/>
        <w:rPr>
          <w:sz w:val="22"/>
          <w:szCs w:val="22"/>
          <w:lang w:val="es-ES"/>
        </w:rPr>
      </w:pPr>
      <w:r>
        <w:rPr>
          <w:sz w:val="22"/>
          <w:szCs w:val="22"/>
          <w:lang w:val="es-ES"/>
        </w:rPr>
        <w:t>L</w:t>
      </w:r>
      <w:r>
        <w:rPr>
          <w:sz w:val="22"/>
          <w:szCs w:val="22"/>
          <w:vertAlign w:val="subscript"/>
          <w:lang w:val="es-ES"/>
        </w:rPr>
        <w:t>0</w:t>
      </w:r>
      <w:r>
        <w:rPr>
          <w:sz w:val="22"/>
          <w:szCs w:val="22"/>
          <w:lang w:val="es-ES"/>
        </w:rPr>
        <w:t>, L</w:t>
      </w:r>
      <w:r>
        <w:rPr>
          <w:sz w:val="22"/>
          <w:szCs w:val="22"/>
          <w:vertAlign w:val="subscript"/>
          <w:lang w:val="es-ES"/>
        </w:rPr>
        <w:t>1</w:t>
      </w:r>
      <w:r>
        <w:rPr>
          <w:sz w:val="22"/>
          <w:szCs w:val="22"/>
          <w:lang w:val="es-ES"/>
        </w:rPr>
        <w:tab/>
        <w:t>=</w:t>
      </w:r>
      <w:r>
        <w:rPr>
          <w:sz w:val="22"/>
          <w:szCs w:val="22"/>
          <w:lang w:val="es-ES"/>
        </w:rPr>
        <w:tab/>
        <w:t>índices de mano de obra aplicables al tipo de industria que corresponda según el país de origen de los bienes, en la fecha básica y en la fecha del ajuste, respectivamente.</w:t>
      </w:r>
    </w:p>
    <w:p>
      <w:pPr>
        <w:suppressAutoHyphens/>
        <w:spacing w:before="60" w:after="60"/>
        <w:ind w:left="1800" w:hanging="1260"/>
        <w:jc w:val="both"/>
        <w:rPr>
          <w:sz w:val="22"/>
          <w:szCs w:val="22"/>
          <w:lang w:val="es-ES"/>
        </w:rPr>
      </w:pPr>
      <w:r>
        <w:rPr>
          <w:sz w:val="22"/>
          <w:szCs w:val="22"/>
          <w:lang w:val="es-ES"/>
        </w:rPr>
        <w:t>M</w:t>
      </w:r>
      <w:r>
        <w:rPr>
          <w:sz w:val="22"/>
          <w:szCs w:val="22"/>
          <w:vertAlign w:val="subscript"/>
          <w:lang w:val="es-ES"/>
        </w:rPr>
        <w:t>0</w:t>
      </w:r>
      <w:r>
        <w:rPr>
          <w:sz w:val="22"/>
          <w:szCs w:val="22"/>
          <w:lang w:val="es-ES"/>
        </w:rPr>
        <w:t>, M</w:t>
      </w:r>
      <w:r>
        <w:rPr>
          <w:sz w:val="22"/>
          <w:szCs w:val="22"/>
          <w:vertAlign w:val="subscript"/>
          <w:lang w:val="es-ES"/>
        </w:rPr>
        <w:t>1</w:t>
      </w:r>
      <w:r>
        <w:rPr>
          <w:sz w:val="22"/>
          <w:szCs w:val="22"/>
          <w:lang w:val="es-ES"/>
        </w:rPr>
        <w:t xml:space="preserve">  = </w:t>
      </w:r>
      <w:r>
        <w:rPr>
          <w:sz w:val="22"/>
          <w:szCs w:val="22"/>
          <w:lang w:val="es-ES"/>
        </w:rPr>
        <w:tab/>
        <w:t>índices de materiales correspondientes a las principales materias primas  en la fecha básica y en la fecha de ajuste, respectivamente, en el país de origen.</w:t>
      </w:r>
    </w:p>
    <w:p>
      <w:pPr>
        <w:suppressAutoHyphens/>
        <w:spacing w:before="60" w:after="60"/>
        <w:ind w:left="540"/>
        <w:jc w:val="both"/>
        <w:rPr>
          <w:sz w:val="22"/>
          <w:szCs w:val="22"/>
          <w:lang w:val="es-ES"/>
        </w:rPr>
      </w:pPr>
      <w:r>
        <w:rPr>
          <w:sz w:val="22"/>
          <w:szCs w:val="22"/>
          <w:lang w:val="es-ES"/>
        </w:rPr>
        <w:t>Los coeficientes a, b, y c según los establece el Comprador son como sigue:</w:t>
      </w:r>
    </w:p>
    <w:p>
      <w:pPr>
        <w:suppressAutoHyphens/>
        <w:spacing w:before="60" w:after="60"/>
        <w:ind w:left="540"/>
        <w:jc w:val="both"/>
        <w:rPr>
          <w:color w:val="0070C0"/>
          <w:sz w:val="22"/>
          <w:szCs w:val="22"/>
          <w:lang w:val="es-ES"/>
        </w:rPr>
      </w:pPr>
      <w:r>
        <w:rPr>
          <w:sz w:val="22"/>
          <w:szCs w:val="22"/>
          <w:lang w:val="es-ES"/>
        </w:rPr>
        <w:t>a =</w:t>
      </w:r>
      <w:r>
        <w:rPr>
          <w:color w:val="0070C0"/>
          <w:sz w:val="22"/>
          <w:szCs w:val="22"/>
          <w:lang w:val="es-ES"/>
        </w:rPr>
        <w:t xml:space="preserve"> </w:t>
      </w:r>
      <w:r>
        <w:rPr>
          <w:i/>
          <w:iCs/>
          <w:color w:val="0070C0"/>
          <w:sz w:val="22"/>
          <w:szCs w:val="22"/>
          <w:lang w:val="es-ES"/>
        </w:rPr>
        <w:t>[indicar valor del coeficiente]</w:t>
      </w:r>
      <w:r>
        <w:rPr>
          <w:color w:val="0070C0"/>
          <w:sz w:val="22"/>
          <w:szCs w:val="22"/>
          <w:lang w:val="es-ES"/>
        </w:rPr>
        <w:t xml:space="preserve"> </w:t>
      </w:r>
    </w:p>
    <w:p>
      <w:pPr>
        <w:suppressAutoHyphens/>
        <w:spacing w:before="60" w:after="60"/>
        <w:ind w:left="540"/>
        <w:jc w:val="both"/>
        <w:rPr>
          <w:color w:val="0070C0"/>
          <w:sz w:val="22"/>
          <w:szCs w:val="22"/>
          <w:lang w:val="es-ES"/>
        </w:rPr>
      </w:pPr>
      <w:r>
        <w:rPr>
          <w:sz w:val="22"/>
          <w:szCs w:val="22"/>
          <w:lang w:val="es-ES"/>
        </w:rPr>
        <w:t>b=</w:t>
      </w:r>
      <w:r>
        <w:rPr>
          <w:color w:val="0070C0"/>
          <w:sz w:val="22"/>
          <w:szCs w:val="22"/>
          <w:lang w:val="es-ES"/>
        </w:rPr>
        <w:t xml:space="preserve">  </w:t>
      </w:r>
      <w:r>
        <w:rPr>
          <w:i/>
          <w:iCs/>
          <w:color w:val="0070C0"/>
          <w:sz w:val="22"/>
          <w:szCs w:val="22"/>
          <w:lang w:val="es-ES"/>
        </w:rPr>
        <w:t>[indicar valor del coeficiente]</w:t>
      </w:r>
    </w:p>
    <w:p>
      <w:pPr>
        <w:suppressAutoHyphens/>
        <w:spacing w:before="60" w:after="60"/>
        <w:ind w:left="540"/>
        <w:jc w:val="both"/>
        <w:rPr>
          <w:color w:val="0070C0"/>
          <w:sz w:val="22"/>
          <w:szCs w:val="22"/>
          <w:lang w:val="es-ES"/>
        </w:rPr>
      </w:pPr>
      <w:r>
        <w:rPr>
          <w:sz w:val="22"/>
          <w:szCs w:val="22"/>
          <w:lang w:val="es-ES"/>
        </w:rPr>
        <w:t>c=</w:t>
      </w:r>
      <w:r>
        <w:rPr>
          <w:color w:val="0070C0"/>
          <w:sz w:val="22"/>
          <w:szCs w:val="22"/>
          <w:lang w:val="es-ES"/>
        </w:rPr>
        <w:t xml:space="preserve">  </w:t>
      </w:r>
      <w:r>
        <w:rPr>
          <w:i/>
          <w:iCs/>
          <w:color w:val="0070C0"/>
          <w:sz w:val="22"/>
          <w:szCs w:val="22"/>
          <w:lang w:val="es-ES"/>
        </w:rPr>
        <w:t>[indicar valor del coeficiente]</w:t>
      </w:r>
    </w:p>
    <w:p>
      <w:pPr>
        <w:suppressAutoHyphens/>
        <w:spacing w:before="60" w:after="60"/>
        <w:ind w:left="540"/>
        <w:jc w:val="both"/>
        <w:rPr>
          <w:sz w:val="22"/>
          <w:szCs w:val="22"/>
          <w:lang w:val="es-ES"/>
        </w:rPr>
      </w:pPr>
      <w:r>
        <w:rPr>
          <w:sz w:val="22"/>
          <w:szCs w:val="22"/>
          <w:lang w:val="es-ES"/>
        </w:rPr>
        <w:t>El Oferente indicará en su oferta la fuente de los índices y la fecha base de los índices.</w:t>
      </w:r>
    </w:p>
    <w:p>
      <w:pPr>
        <w:suppressAutoHyphens/>
        <w:spacing w:before="60" w:after="60"/>
        <w:ind w:left="540"/>
        <w:jc w:val="both"/>
        <w:rPr>
          <w:sz w:val="22"/>
          <w:szCs w:val="22"/>
          <w:lang w:val="es-ES"/>
        </w:rPr>
      </w:pPr>
      <w:r>
        <w:rPr>
          <w:sz w:val="22"/>
          <w:szCs w:val="22"/>
          <w:lang w:val="es-ES"/>
        </w:rPr>
        <w:t>Fecha base = treinta (30) días antes de la fecha límite para la presentación de ofertas.</w:t>
      </w:r>
    </w:p>
    <w:p>
      <w:pPr>
        <w:suppressAutoHyphens/>
        <w:spacing w:before="60" w:after="60"/>
        <w:ind w:left="540"/>
        <w:jc w:val="both"/>
        <w:rPr>
          <w:sz w:val="22"/>
          <w:szCs w:val="22"/>
          <w:lang w:val="es-ES"/>
        </w:rPr>
      </w:pPr>
      <w:r>
        <w:rPr>
          <w:sz w:val="22"/>
          <w:szCs w:val="22"/>
          <w:lang w:val="es-ES"/>
        </w:rPr>
        <w:t xml:space="preserve">Fecha del ajuste = </w:t>
      </w:r>
      <w:r>
        <w:rPr>
          <w:i/>
          <w:sz w:val="22"/>
          <w:szCs w:val="22"/>
          <w:lang w:val="es-ES"/>
        </w:rPr>
        <w:t>[indicar el número de semanas]</w:t>
      </w:r>
      <w:r>
        <w:rPr>
          <w:sz w:val="22"/>
          <w:szCs w:val="22"/>
          <w:lang w:val="es-ES"/>
        </w:rPr>
        <w:t xml:space="preserve"> semanas antes de la fecha de embarque (que representa el punto medio del período de fabricación). </w:t>
      </w:r>
    </w:p>
    <w:p>
      <w:pPr>
        <w:suppressAutoHyphens/>
        <w:spacing w:before="60" w:after="60"/>
        <w:ind w:left="540"/>
        <w:jc w:val="both"/>
        <w:rPr>
          <w:sz w:val="22"/>
          <w:szCs w:val="22"/>
          <w:lang w:val="es-ES"/>
        </w:rPr>
      </w:pPr>
      <w:r>
        <w:rPr>
          <w:sz w:val="22"/>
          <w:szCs w:val="22"/>
          <w:lang w:val="es-ES"/>
        </w:rPr>
        <w:t>La fórmula de ajuste de precio anterior podrá ser invocada por cualquiera de las partes bajo las siguientes condiciones:</w:t>
      </w:r>
    </w:p>
    <w:p>
      <w:pPr>
        <w:tabs>
          <w:tab w:val="left" w:pos="1080"/>
        </w:tabs>
        <w:suppressAutoHyphens/>
        <w:spacing w:before="60" w:after="60"/>
        <w:ind w:left="1080" w:hanging="540"/>
        <w:jc w:val="both"/>
        <w:rPr>
          <w:sz w:val="22"/>
          <w:szCs w:val="22"/>
          <w:lang w:val="es-ES"/>
        </w:rPr>
      </w:pPr>
      <w:r>
        <w:rPr>
          <w:sz w:val="22"/>
          <w:szCs w:val="22"/>
          <w:lang w:val="es-ES"/>
        </w:rPr>
        <w:t xml:space="preserve"> (a)</w:t>
      </w:r>
      <w:r>
        <w:rPr>
          <w:sz w:val="22"/>
          <w:szCs w:val="22"/>
          <w:lang w:val="es-ES"/>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pPr>
        <w:tabs>
          <w:tab w:val="left" w:pos="1080"/>
        </w:tabs>
        <w:suppressAutoHyphens/>
        <w:spacing w:before="60" w:after="60"/>
        <w:ind w:left="1080" w:hanging="540"/>
        <w:jc w:val="both"/>
        <w:rPr>
          <w:sz w:val="22"/>
          <w:szCs w:val="22"/>
          <w:lang w:val="es-ES"/>
        </w:rPr>
      </w:pPr>
      <w:r>
        <w:rPr>
          <w:sz w:val="22"/>
          <w:szCs w:val="22"/>
          <w:lang w:val="es-ES"/>
        </w:rPr>
        <w:t>(b)</w:t>
      </w:r>
      <w:r>
        <w:rPr>
          <w:sz w:val="22"/>
          <w:szCs w:val="22"/>
          <w:lang w:val="es-ES"/>
        </w:rPr>
        <w:tab/>
        <w:t>Si la moneda en la cual el Precio del Contrato P</w:t>
      </w:r>
      <w:r>
        <w:rPr>
          <w:sz w:val="22"/>
          <w:szCs w:val="22"/>
          <w:vertAlign w:val="subscript"/>
          <w:lang w:val="es-ES"/>
        </w:rPr>
        <w:t>0</w:t>
      </w:r>
      <w:r>
        <w:rPr>
          <w:sz w:val="22"/>
          <w:szCs w:val="22"/>
          <w:lang w:val="es-ES"/>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pPr>
        <w:pStyle w:val="explanatorynotes"/>
        <w:ind w:left="1134" w:hanging="1134"/>
        <w:jc w:val="left"/>
        <w:rPr>
          <w:rFonts w:ascii="Times New Roman" w:hAnsi="Times New Roman"/>
          <w:b/>
          <w:sz w:val="22"/>
          <w:szCs w:val="22"/>
          <w:lang w:val="es-ES"/>
        </w:rPr>
      </w:pPr>
      <w:r>
        <w:rPr>
          <w:rFonts w:ascii="Times New Roman" w:hAnsi="Times New Roman"/>
          <w:sz w:val="22"/>
          <w:szCs w:val="22"/>
          <w:lang w:val="es-ES"/>
        </w:rPr>
        <w:t>(c)</w:t>
      </w:r>
      <w:r>
        <w:rPr>
          <w:rFonts w:ascii="Times New Roman" w:hAnsi="Times New Roman"/>
          <w:sz w:val="22"/>
          <w:szCs w:val="22"/>
          <w:lang w:val="es-ES"/>
        </w:rPr>
        <w:tab/>
        <w:t>No se efectuará ningún reajuste de precio a la porción del Precio del Contrato pagado al Proveedor como anticipo.</w:t>
      </w:r>
    </w:p>
    <w:p>
      <w:pPr>
        <w:rPr>
          <w:sz w:val="22"/>
          <w:szCs w:val="22"/>
          <w:lang w:val="es-ES"/>
        </w:rPr>
      </w:pPr>
    </w:p>
    <w:p>
      <w:pPr>
        <w:rPr>
          <w:sz w:val="22"/>
          <w:szCs w:val="22"/>
          <w:lang w:val="es-ES"/>
        </w:rPr>
      </w:pPr>
    </w:p>
    <w:p>
      <w:pPr>
        <w:rPr>
          <w:sz w:val="22"/>
          <w:szCs w:val="22"/>
          <w:lang w:val="es-ES"/>
        </w:rPr>
      </w:pPr>
    </w:p>
    <w:p>
      <w:pPr>
        <w:rPr>
          <w:sz w:val="22"/>
          <w:szCs w:val="22"/>
          <w:lang w:val="es-ES"/>
        </w:rPr>
      </w:pPr>
    </w:p>
    <w:p>
      <w:pPr>
        <w:rPr>
          <w:sz w:val="22"/>
          <w:szCs w:val="22"/>
          <w:lang w:val="es-ES"/>
        </w:rPr>
      </w:pPr>
    </w:p>
    <w:p>
      <w:pPr>
        <w:rPr>
          <w:sz w:val="22"/>
          <w:szCs w:val="22"/>
          <w:lang w:val="es-ES"/>
        </w:rPr>
      </w:pPr>
    </w:p>
    <w:p>
      <w:pPr>
        <w:pStyle w:val="Secciones"/>
        <w:rPr>
          <w:rFonts w:ascii="Times New Roman" w:hAnsi="Times New Roman"/>
        </w:rPr>
      </w:pPr>
      <w:bookmarkStart w:id="809" w:name="_Toc175256931"/>
      <w:bookmarkStart w:id="810" w:name="_Toc233986855"/>
      <w:r>
        <w:rPr>
          <w:rFonts w:ascii="Times New Roman" w:hAnsi="Times New Roman"/>
        </w:rPr>
        <w:t>Sección IX. Formularios de Contrato</w:t>
      </w:r>
      <w:bookmarkEnd w:id="809"/>
    </w:p>
    <w:p>
      <w:pPr>
        <w:jc w:val="center"/>
        <w:rPr>
          <w:b/>
          <w:sz w:val="40"/>
          <w:szCs w:val="20"/>
          <w:lang w:val="es-ES"/>
        </w:rPr>
      </w:pPr>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r>
        <w:rPr>
          <w:rFonts w:ascii="Times New Roman" w:hAnsi="Times New Roman"/>
          <w:szCs w:val="32"/>
          <w:lang w:val="es-ES"/>
        </w:rPr>
        <w:fldChar w:fldCharType="begin"/>
      </w:r>
      <w:r>
        <w:rPr>
          <w:rFonts w:ascii="Times New Roman" w:hAnsi="Times New Roman"/>
          <w:szCs w:val="32"/>
          <w:lang w:val="es-ES"/>
        </w:rPr>
        <w:instrText xml:space="preserve"> TOC \h \z \t "FormCGC;1" </w:instrText>
      </w:r>
      <w:r>
        <w:rPr>
          <w:rFonts w:ascii="Times New Roman" w:hAnsi="Times New Roman"/>
          <w:szCs w:val="32"/>
          <w:lang w:val="es-ES"/>
        </w:rPr>
        <w:fldChar w:fldCharType="separate"/>
      </w:r>
      <w:hyperlink w:anchor="_Toc175253481" w:history="1">
        <w:r>
          <w:rPr>
            <w:rStyle w:val="Hipervnculo"/>
            <w:rFonts w:ascii="Times New Roman" w:hAnsi="Times New Roman"/>
            <w:noProof/>
          </w:rPr>
          <w:t>Formulario de Divulgación de la Propiedad Efectiva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_Toc175253481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112</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3482" w:history="1">
        <w:r>
          <w:rPr>
            <w:rStyle w:val="Hipervnculo"/>
            <w:rFonts w:ascii="Times New Roman" w:hAnsi="Times New Roman"/>
            <w:noProof/>
          </w:rPr>
          <w:t>Carta de Aceptación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_Toc175253482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115</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3483" w:history="1">
        <w:r>
          <w:rPr>
            <w:rStyle w:val="Hipervnculo"/>
            <w:rFonts w:ascii="Times New Roman" w:hAnsi="Times New Roman"/>
            <w:noProof/>
          </w:rPr>
          <w:t>Convenio Contractual</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_Toc175253483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116</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3484" w:history="1">
        <w:r>
          <w:rPr>
            <w:rStyle w:val="Hipervnculo"/>
            <w:rFonts w:ascii="Times New Roman" w:hAnsi="Times New Roman"/>
            <w:noProof/>
          </w:rPr>
          <w:t>Garantía de Cumplimiento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_Toc175253484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118</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3485" w:history="1">
        <w:r>
          <w:rPr>
            <w:rStyle w:val="Hipervnculo"/>
            <w:rFonts w:ascii="Times New Roman" w:hAnsi="Times New Roman"/>
            <w:noProof/>
          </w:rPr>
          <w:t>Garantía por Anticipo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_Toc175253485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120</w:t>
        </w:r>
        <w:r>
          <w:rPr>
            <w:rFonts w:ascii="Times New Roman" w:hAnsi="Times New Roman"/>
            <w:noProof/>
            <w:webHidden/>
          </w:rPr>
          <w:fldChar w:fldCharType="end"/>
        </w:r>
      </w:hyperlink>
    </w:p>
    <w:p>
      <w:pPr>
        <w:pStyle w:val="TDC1"/>
        <w:tabs>
          <w:tab w:val="right" w:leader="dot" w:pos="9016"/>
        </w:tabs>
        <w:rPr>
          <w:rFonts w:ascii="Times New Roman" w:eastAsiaTheme="minorEastAsia" w:hAnsi="Times New Roman"/>
          <w:b w:val="0"/>
          <w:noProof/>
          <w:kern w:val="2"/>
          <w:sz w:val="24"/>
          <w:lang w:val="es-EC" w:eastAsia="es-EC"/>
          <w14:ligatures w14:val="standardContextual"/>
        </w:rPr>
      </w:pPr>
      <w:hyperlink w:anchor="_Toc175253486" w:history="1">
        <w:r>
          <w:rPr>
            <w:rStyle w:val="Hipervnculo"/>
            <w:rFonts w:ascii="Times New Roman" w:hAnsi="Times New Roman"/>
            <w:noProof/>
          </w:rPr>
          <w:t>Fianza de Cumplimiento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_Toc175253486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122</w:t>
        </w:r>
        <w:r>
          <w:rPr>
            <w:rFonts w:ascii="Times New Roman" w:hAnsi="Times New Roman"/>
            <w:noProof/>
            <w:webHidden/>
          </w:rPr>
          <w:fldChar w:fldCharType="end"/>
        </w:r>
      </w:hyperlink>
    </w:p>
    <w:p>
      <w:pPr>
        <w:rPr>
          <w:szCs w:val="32"/>
          <w:lang w:val="es-ES"/>
        </w:rPr>
      </w:pPr>
      <w:r>
        <w:rPr>
          <w:szCs w:val="32"/>
          <w:lang w:val="es-ES"/>
        </w:rPr>
        <w:fldChar w:fldCharType="end"/>
      </w:r>
    </w:p>
    <w:p>
      <w:pPr>
        <w:pStyle w:val="FormCGC"/>
        <w:rPr>
          <w:rFonts w:ascii="Times New Roman" w:hAnsi="Times New Roman" w:cs="Times New Roman"/>
        </w:rPr>
        <w:sectPr>
          <w:headerReference w:type="default" r:id="rId50"/>
          <w:footnotePr>
            <w:numRestart w:val="eachSect"/>
          </w:footnotePr>
          <w:pgSz w:w="11906" w:h="16838" w:code="9"/>
          <w:pgMar w:top="1440" w:right="1440" w:bottom="1440" w:left="1440" w:header="720" w:footer="720" w:gutter="0"/>
          <w:paperSrc w:first="15" w:other="15"/>
          <w:cols w:space="720"/>
        </w:sectPr>
      </w:pPr>
      <w:bookmarkStart w:id="811" w:name="_Toc502819515"/>
      <w:bookmarkStart w:id="812" w:name="_Toc19112062"/>
      <w:bookmarkStart w:id="813" w:name="_Toc175253481"/>
      <w:bookmarkStart w:id="814" w:name="_Toc454621054"/>
      <w:bookmarkStart w:id="815" w:name="_Toc436904424"/>
      <w:bookmarkStart w:id="816" w:name="_Toc460506937"/>
      <w:bookmarkStart w:id="817" w:name="_Toc494182759"/>
      <w:bookmarkStart w:id="818" w:name="_Toc535905898"/>
    </w:p>
    <w:p>
      <w:pPr>
        <w:pStyle w:val="FormCGC"/>
        <w:rPr>
          <w:rFonts w:ascii="Times New Roman" w:hAnsi="Times New Roman" w:cs="Times New Roman"/>
        </w:rPr>
      </w:pPr>
      <w:r>
        <w:rPr>
          <w:rFonts w:ascii="Times New Roman" w:hAnsi="Times New Roman" w:cs="Times New Roman"/>
        </w:rPr>
        <w:lastRenderedPageBreak/>
        <w:t>Formulario de Divulgación de la Propiedad Efectiva</w:t>
      </w:r>
      <w:bookmarkEnd w:id="811"/>
      <w:bookmarkEnd w:id="812"/>
      <w:bookmarkEnd w:id="813"/>
    </w:p>
    <w:p>
      <w:pPr>
        <w:tabs>
          <w:tab w:val="right" w:pos="9000"/>
        </w:tabs>
        <w:jc w:val="center"/>
        <w:rPr>
          <w:b/>
          <w:sz w:val="22"/>
          <w:szCs w:val="22"/>
          <w:lang w:val="es-ES"/>
        </w:rPr>
      </w:pPr>
      <w:r>
        <w:rPr>
          <w:b/>
          <w:sz w:val="22"/>
          <w:szCs w:val="22"/>
          <w:lang w:val="es-ES"/>
        </w:rPr>
        <w:t>NO APLICA</w:t>
      </w:r>
    </w:p>
    <w:tbl>
      <w:tblPr>
        <w:tblStyle w:val="Tablaconcuadrcula"/>
        <w:tblW w:w="9776" w:type="dxa"/>
        <w:tblLook w:val="04A0" w:firstRow="1" w:lastRow="0" w:firstColumn="1" w:lastColumn="0" w:noHBand="0" w:noVBand="1"/>
      </w:tblPr>
      <w:tblGrid>
        <w:gridCol w:w="9776"/>
      </w:tblGrid>
      <w:tr>
        <w:tc>
          <w:tcPr>
            <w:tcW w:w="9776" w:type="dxa"/>
          </w:tcPr>
          <w:p>
            <w:pPr>
              <w:spacing w:before="120"/>
              <w:jc w:val="both"/>
              <w:rPr>
                <w:i/>
                <w:sz w:val="22"/>
                <w:szCs w:val="22"/>
                <w:lang w:val="es-ES"/>
              </w:rPr>
            </w:pPr>
            <w:r>
              <w:rPr>
                <w:i/>
                <w:sz w:val="22"/>
                <w:szCs w:val="22"/>
                <w:lang w:val="es-ES"/>
              </w:rPr>
              <w:t>INSTRUCCIONES A LOS LICITANTES: SUPRIMIR ESTA CASILLA UNA VEZ QUE SE HA COMPLETADO EL FORMULARIO</w:t>
            </w:r>
          </w:p>
          <w:p>
            <w:pPr>
              <w:jc w:val="both"/>
              <w:rPr>
                <w:i/>
                <w:sz w:val="22"/>
                <w:szCs w:val="22"/>
                <w:lang w:val="es-ES"/>
              </w:rPr>
            </w:pPr>
          </w:p>
          <w:p>
            <w:pPr>
              <w:jc w:val="both"/>
              <w:rPr>
                <w:i/>
                <w:sz w:val="22"/>
                <w:szCs w:val="22"/>
                <w:lang w:val="es-ES"/>
              </w:rPr>
            </w:pPr>
            <w:r>
              <w:rPr>
                <w:i/>
                <w:sz w:val="22"/>
                <w:szCs w:val="22"/>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pPr>
              <w:jc w:val="both"/>
              <w:rPr>
                <w:color w:val="212121"/>
                <w:sz w:val="22"/>
                <w:szCs w:val="22"/>
                <w:shd w:val="clear" w:color="auto" w:fill="FFFFFF"/>
                <w:lang w:val="es-ES"/>
              </w:rPr>
            </w:pPr>
            <w:r>
              <w:rPr>
                <w:sz w:val="22"/>
                <w:szCs w:val="22"/>
                <w:lang w:val="es-ES"/>
              </w:rPr>
              <w:br/>
            </w:r>
            <w:r>
              <w:rPr>
                <w:i/>
                <w:sz w:val="22"/>
                <w:szCs w:val="22"/>
                <w:lang w:val="es-ES"/>
              </w:rPr>
              <w:t xml:space="preserve">Para los propósitos de este Formulario, un Propietario Efectivo de un Oferente es cualquier persona natural que en última instancia posee o controla al Oferente al cumplir una o más de las siguientes condiciones: </w:t>
            </w:r>
          </w:p>
          <w:p>
            <w:pPr>
              <w:rPr>
                <w:color w:val="212121"/>
                <w:sz w:val="22"/>
                <w:szCs w:val="22"/>
                <w:shd w:val="clear" w:color="auto" w:fill="FFFFFF"/>
                <w:lang w:val="es-ES"/>
              </w:rPr>
            </w:pPr>
          </w:p>
          <w:p>
            <w:pPr>
              <w:ind w:left="360"/>
              <w:rPr>
                <w:i/>
                <w:sz w:val="22"/>
                <w:szCs w:val="22"/>
                <w:lang w:val="es-ES"/>
              </w:rPr>
            </w:pPr>
            <w:r>
              <w:rPr>
                <w:i/>
                <w:sz w:val="22"/>
                <w:szCs w:val="22"/>
                <w:lang w:val="es-ES"/>
              </w:rPr>
              <w:t xml:space="preserve">• poseer directa o indirectamente el 25% o más de las acciones </w:t>
            </w:r>
          </w:p>
          <w:p>
            <w:pPr>
              <w:ind w:left="360"/>
              <w:rPr>
                <w:i/>
                <w:sz w:val="22"/>
                <w:szCs w:val="22"/>
                <w:lang w:val="es-ES"/>
              </w:rPr>
            </w:pPr>
            <w:r>
              <w:rPr>
                <w:i/>
                <w:sz w:val="22"/>
                <w:szCs w:val="22"/>
                <w:lang w:val="es-ES"/>
              </w:rPr>
              <w:t xml:space="preserve">• poseer directa o indirectamente el 25% o más de los derechos de voto </w:t>
            </w:r>
          </w:p>
          <w:p>
            <w:pPr>
              <w:ind w:left="360"/>
              <w:rPr>
                <w:i/>
                <w:sz w:val="22"/>
                <w:szCs w:val="22"/>
                <w:lang w:val="es-ES"/>
              </w:rPr>
            </w:pPr>
            <w:r>
              <w:rPr>
                <w:i/>
                <w:sz w:val="22"/>
                <w:szCs w:val="22"/>
                <w:lang w:val="es-ES"/>
              </w:rPr>
              <w:t>• tener directa o indirectamente el derecho de nombrar a la mayoría del consejo de administración u órgano de gobierno equivalente del Oferente</w:t>
            </w:r>
          </w:p>
          <w:p>
            <w:pPr>
              <w:tabs>
                <w:tab w:val="right" w:pos="9000"/>
              </w:tabs>
              <w:rPr>
                <w:b/>
                <w:sz w:val="22"/>
                <w:szCs w:val="22"/>
                <w:lang w:val="es-ES"/>
              </w:rPr>
            </w:pPr>
          </w:p>
        </w:tc>
      </w:tr>
    </w:tbl>
    <w:p>
      <w:pPr>
        <w:tabs>
          <w:tab w:val="right" w:pos="9000"/>
        </w:tabs>
        <w:rPr>
          <w:b/>
          <w:sz w:val="22"/>
          <w:szCs w:val="22"/>
          <w:lang w:val="es-ES"/>
        </w:rPr>
      </w:pPr>
    </w:p>
    <w:p>
      <w:pPr>
        <w:tabs>
          <w:tab w:val="right" w:pos="9000"/>
        </w:tabs>
        <w:rPr>
          <w:i/>
          <w:sz w:val="22"/>
          <w:szCs w:val="22"/>
          <w:lang w:val="es-ES"/>
        </w:rPr>
      </w:pPr>
      <w:r>
        <w:rPr>
          <w:b/>
          <w:sz w:val="22"/>
          <w:szCs w:val="22"/>
          <w:lang w:val="es-ES"/>
        </w:rPr>
        <w:t>No. SDO:</w:t>
      </w:r>
      <w:r>
        <w:rPr>
          <w:sz w:val="22"/>
          <w:szCs w:val="22"/>
          <w:lang w:val="es-ES"/>
        </w:rPr>
        <w:t xml:space="preserve"> </w:t>
      </w:r>
      <w:r>
        <w:rPr>
          <w:i/>
          <w:sz w:val="22"/>
          <w:szCs w:val="22"/>
          <w:lang w:val="es-ES"/>
        </w:rPr>
        <w:t>[ingrese el número de la Solicitud de Ofertas]</w:t>
      </w:r>
    </w:p>
    <w:p>
      <w:pPr>
        <w:rPr>
          <w:i/>
          <w:sz w:val="22"/>
          <w:szCs w:val="22"/>
          <w:lang w:val="es-ES"/>
        </w:rPr>
      </w:pPr>
      <w:r>
        <w:rPr>
          <w:b/>
          <w:sz w:val="22"/>
          <w:szCs w:val="22"/>
          <w:lang w:val="es-ES"/>
        </w:rPr>
        <w:t>Solicitud de Oferta</w:t>
      </w:r>
      <w:r>
        <w:rPr>
          <w:sz w:val="22"/>
          <w:szCs w:val="22"/>
          <w:lang w:val="es-ES"/>
        </w:rPr>
        <w:t xml:space="preserve">: </w:t>
      </w:r>
      <w:r>
        <w:rPr>
          <w:i/>
          <w:sz w:val="22"/>
          <w:szCs w:val="22"/>
          <w:lang w:val="es-ES"/>
        </w:rPr>
        <w:t>[ingrese la identificación]</w:t>
      </w:r>
    </w:p>
    <w:p>
      <w:pPr>
        <w:tabs>
          <w:tab w:val="right" w:pos="9000"/>
        </w:tabs>
        <w:rPr>
          <w:sz w:val="22"/>
          <w:szCs w:val="22"/>
          <w:lang w:val="es-ES"/>
        </w:rPr>
      </w:pPr>
    </w:p>
    <w:p>
      <w:pPr>
        <w:rPr>
          <w:b/>
          <w:sz w:val="22"/>
          <w:szCs w:val="22"/>
          <w:lang w:val="es-ES"/>
        </w:rPr>
      </w:pPr>
      <w:r>
        <w:rPr>
          <w:sz w:val="22"/>
          <w:szCs w:val="22"/>
          <w:lang w:val="es-ES"/>
        </w:rPr>
        <w:t xml:space="preserve">A: </w:t>
      </w:r>
      <w:r>
        <w:rPr>
          <w:b/>
          <w:sz w:val="22"/>
          <w:szCs w:val="22"/>
          <w:lang w:val="es-ES"/>
        </w:rPr>
        <w:t>[</w:t>
      </w:r>
      <w:r>
        <w:rPr>
          <w:b/>
          <w:i/>
          <w:sz w:val="22"/>
          <w:szCs w:val="22"/>
          <w:lang w:val="es-ES"/>
        </w:rPr>
        <w:t>ingrese el nombre completo del Comprador</w:t>
      </w:r>
      <w:r>
        <w:rPr>
          <w:b/>
          <w:sz w:val="22"/>
          <w:szCs w:val="22"/>
          <w:lang w:val="es-ES"/>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es-ES"/>
        </w:rPr>
      </w:pPr>
    </w:p>
    <w:p>
      <w:pPr>
        <w:tabs>
          <w:tab w:val="right" w:pos="9000"/>
        </w:tabs>
        <w:jc w:val="both"/>
        <w:rPr>
          <w:i/>
          <w:sz w:val="22"/>
          <w:szCs w:val="22"/>
          <w:lang w:val="es-ES"/>
        </w:rPr>
      </w:pPr>
      <w:r>
        <w:rPr>
          <w:i/>
          <w:sz w:val="22"/>
          <w:szCs w:val="22"/>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pPr>
        <w:tabs>
          <w:tab w:val="right" w:pos="9000"/>
        </w:tabs>
        <w:rPr>
          <w:i/>
          <w:sz w:val="22"/>
          <w:szCs w:val="22"/>
          <w:lang w:val="es-ES"/>
        </w:rPr>
      </w:pPr>
    </w:p>
    <w:p>
      <w:pPr>
        <w:tabs>
          <w:tab w:val="right" w:pos="9000"/>
        </w:tabs>
        <w:rPr>
          <w:sz w:val="22"/>
          <w:szCs w:val="22"/>
          <w:lang w:val="es-ES"/>
        </w:rPr>
      </w:pPr>
      <w:r>
        <w:rPr>
          <w:sz w:val="22"/>
          <w:szCs w:val="22"/>
          <w:lang w:val="es-ES"/>
        </w:rPr>
        <w:t>(i) por la presente proporcionamos la siguiente información sobre la Propiedad Efectiva</w:t>
      </w:r>
    </w:p>
    <w:p>
      <w:pPr>
        <w:rPr>
          <w:sz w:val="22"/>
          <w:szCs w:val="22"/>
          <w:lang w:val="es-ES"/>
        </w:rPr>
      </w:pPr>
    </w:p>
    <w:p>
      <w:pPr>
        <w:rPr>
          <w:b/>
          <w:sz w:val="22"/>
          <w:szCs w:val="22"/>
          <w:lang w:val="es-ES"/>
        </w:rPr>
      </w:pPr>
      <w:r>
        <w:rPr>
          <w:b/>
          <w:sz w:val="22"/>
          <w:szCs w:val="22"/>
          <w:lang w:val="es-ES"/>
        </w:rPr>
        <w:t xml:space="preserve">Detalles de la Propiedad Efectiva </w:t>
      </w:r>
    </w:p>
    <w:p>
      <w:pPr>
        <w:rPr>
          <w:b/>
          <w:sz w:val="22"/>
          <w:szCs w:val="22"/>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trPr>
          <w:trHeight w:val="2542"/>
          <w:tblHeader/>
        </w:trPr>
        <w:tc>
          <w:tcPr>
            <w:tcW w:w="2251" w:type="dxa"/>
            <w:shd w:val="clear" w:color="auto" w:fill="auto"/>
            <w:vAlign w:val="center"/>
          </w:tcPr>
          <w:p>
            <w:pPr>
              <w:pStyle w:val="Textoindependiente"/>
              <w:spacing w:before="40" w:after="160"/>
              <w:jc w:val="center"/>
              <w:rPr>
                <w:rFonts w:ascii="Times New Roman" w:hAnsi="Times New Roman" w:cs="Times New Roman"/>
                <w:sz w:val="22"/>
                <w:szCs w:val="22"/>
                <w:lang w:val="es-ES"/>
              </w:rPr>
            </w:pPr>
            <w:r>
              <w:rPr>
                <w:rFonts w:ascii="Times New Roman" w:hAnsi="Times New Roman" w:cs="Times New Roman"/>
                <w:sz w:val="22"/>
                <w:szCs w:val="22"/>
                <w:lang w:val="es-ES"/>
              </w:rPr>
              <w:t>Identidad del Propietario Efectivo</w:t>
            </w:r>
          </w:p>
          <w:p>
            <w:pPr>
              <w:pStyle w:val="Textoindependiente"/>
              <w:spacing w:before="40" w:after="160"/>
              <w:jc w:val="center"/>
              <w:rPr>
                <w:rFonts w:ascii="Times New Roman" w:hAnsi="Times New Roman" w:cs="Times New Roman"/>
                <w:i/>
                <w:sz w:val="22"/>
                <w:szCs w:val="22"/>
                <w:lang w:val="es-ES"/>
              </w:rPr>
            </w:pPr>
          </w:p>
        </w:tc>
        <w:tc>
          <w:tcPr>
            <w:tcW w:w="2377" w:type="dxa"/>
            <w:shd w:val="clear" w:color="auto" w:fill="auto"/>
            <w:vAlign w:val="center"/>
          </w:tcPr>
          <w:p>
            <w:pPr>
              <w:pStyle w:val="Textoindependiente"/>
              <w:spacing w:before="40" w:after="160"/>
              <w:jc w:val="center"/>
              <w:rPr>
                <w:rFonts w:ascii="Times New Roman" w:hAnsi="Times New Roman" w:cs="Times New Roman"/>
                <w:sz w:val="22"/>
                <w:szCs w:val="22"/>
                <w:lang w:val="es-ES"/>
              </w:rPr>
            </w:pPr>
            <w:r>
              <w:rPr>
                <w:rFonts w:ascii="Times New Roman" w:hAnsi="Times New Roman" w:cs="Times New Roman"/>
                <w:sz w:val="22"/>
                <w:szCs w:val="22"/>
                <w:lang w:val="es-ES"/>
              </w:rPr>
              <w:t>Tiene participación directa o indirecta del 25% o más de las acciones</w:t>
            </w:r>
          </w:p>
          <w:p>
            <w:pPr>
              <w:pStyle w:val="Textoindependiente"/>
              <w:spacing w:before="40" w:after="160"/>
              <w:jc w:val="center"/>
              <w:rPr>
                <w:rFonts w:ascii="Times New Roman" w:hAnsi="Times New Roman" w:cs="Times New Roman"/>
                <w:sz w:val="22"/>
                <w:szCs w:val="22"/>
                <w:lang w:val="es-ES"/>
              </w:rPr>
            </w:pPr>
            <w:r>
              <w:rPr>
                <w:rFonts w:ascii="Times New Roman" w:hAnsi="Times New Roman" w:cs="Times New Roman"/>
                <w:sz w:val="22"/>
                <w:szCs w:val="22"/>
                <w:lang w:val="es-ES"/>
              </w:rPr>
              <w:t>(Sí / No)</w:t>
            </w:r>
          </w:p>
          <w:p>
            <w:pPr>
              <w:pStyle w:val="Textoindependiente"/>
              <w:spacing w:before="40" w:after="160"/>
              <w:jc w:val="center"/>
              <w:rPr>
                <w:rFonts w:ascii="Times New Roman" w:hAnsi="Times New Roman" w:cs="Times New Roman"/>
                <w:i/>
                <w:sz w:val="22"/>
                <w:szCs w:val="22"/>
                <w:lang w:val="es-ES"/>
              </w:rPr>
            </w:pPr>
          </w:p>
        </w:tc>
        <w:tc>
          <w:tcPr>
            <w:tcW w:w="1973" w:type="dxa"/>
            <w:shd w:val="clear" w:color="auto" w:fill="auto"/>
            <w:vAlign w:val="center"/>
          </w:tcPr>
          <w:p>
            <w:pPr>
              <w:pStyle w:val="Textoindependiente"/>
              <w:spacing w:before="40" w:after="160"/>
              <w:jc w:val="center"/>
              <w:rPr>
                <w:rFonts w:ascii="Times New Roman" w:hAnsi="Times New Roman" w:cs="Times New Roman"/>
                <w:sz w:val="22"/>
                <w:szCs w:val="22"/>
                <w:lang w:val="es-ES"/>
              </w:rPr>
            </w:pPr>
            <w:r>
              <w:rPr>
                <w:rFonts w:ascii="Times New Roman" w:hAnsi="Times New Roman" w:cs="Times New Roman"/>
                <w:sz w:val="22"/>
                <w:szCs w:val="22"/>
                <w:lang w:val="es-ES"/>
              </w:rPr>
              <w:t>Tiene directa o indirectamente el 25% o más de los derechos de voto</w:t>
            </w:r>
          </w:p>
          <w:p>
            <w:pPr>
              <w:pStyle w:val="Textoindependiente"/>
              <w:spacing w:before="40" w:after="160"/>
              <w:jc w:val="center"/>
              <w:rPr>
                <w:rFonts w:ascii="Times New Roman" w:hAnsi="Times New Roman" w:cs="Times New Roman"/>
                <w:sz w:val="22"/>
                <w:szCs w:val="22"/>
                <w:lang w:val="es-ES"/>
              </w:rPr>
            </w:pPr>
            <w:r>
              <w:rPr>
                <w:rFonts w:ascii="Times New Roman" w:hAnsi="Times New Roman" w:cs="Times New Roman"/>
                <w:sz w:val="22"/>
                <w:szCs w:val="22"/>
                <w:lang w:val="es-ES"/>
              </w:rPr>
              <w:t>(Sí / No)</w:t>
            </w:r>
          </w:p>
          <w:p>
            <w:pPr>
              <w:pStyle w:val="Textoindependiente"/>
              <w:spacing w:before="40" w:after="160"/>
              <w:jc w:val="center"/>
              <w:rPr>
                <w:rFonts w:ascii="Times New Roman" w:hAnsi="Times New Roman" w:cs="Times New Roman"/>
                <w:sz w:val="22"/>
                <w:szCs w:val="22"/>
                <w:lang w:val="es-ES"/>
              </w:rPr>
            </w:pPr>
          </w:p>
        </w:tc>
        <w:tc>
          <w:tcPr>
            <w:tcW w:w="3031" w:type="dxa"/>
            <w:shd w:val="clear" w:color="auto" w:fill="auto"/>
            <w:vAlign w:val="center"/>
          </w:tcPr>
          <w:p>
            <w:pPr>
              <w:pStyle w:val="Textoindependiente"/>
              <w:spacing w:before="40" w:after="160"/>
              <w:jc w:val="center"/>
              <w:rPr>
                <w:rFonts w:ascii="Times New Roman" w:hAnsi="Times New Roman" w:cs="Times New Roman"/>
                <w:sz w:val="22"/>
                <w:szCs w:val="22"/>
                <w:lang w:val="es-ES"/>
              </w:rPr>
            </w:pPr>
            <w:r>
              <w:rPr>
                <w:rFonts w:ascii="Times New Roman" w:hAnsi="Times New Roman" w:cs="Times New Roman"/>
                <w:sz w:val="22"/>
                <w:szCs w:val="22"/>
                <w:lang w:val="es-ES"/>
              </w:rPr>
              <w:t>Tiene directa o indirectamente el derecho a designar a la mayoría del consejo de administración, junta directiva o del órgano de gobierno equivalente del Oferente</w:t>
            </w:r>
          </w:p>
          <w:p>
            <w:pPr>
              <w:pStyle w:val="Textoindependiente"/>
              <w:spacing w:before="40" w:after="160"/>
              <w:jc w:val="center"/>
              <w:rPr>
                <w:rFonts w:ascii="Times New Roman" w:hAnsi="Times New Roman" w:cs="Times New Roman"/>
                <w:sz w:val="22"/>
                <w:szCs w:val="22"/>
                <w:lang w:val="es-ES"/>
              </w:rPr>
            </w:pPr>
            <w:r>
              <w:rPr>
                <w:rFonts w:ascii="Times New Roman" w:hAnsi="Times New Roman" w:cs="Times New Roman"/>
                <w:sz w:val="22"/>
                <w:szCs w:val="22"/>
                <w:lang w:val="es-ES"/>
              </w:rPr>
              <w:t>(Sí / No)</w:t>
            </w:r>
          </w:p>
        </w:tc>
      </w:tr>
      <w:tr>
        <w:trPr>
          <w:trHeight w:val="1816"/>
        </w:trPr>
        <w:tc>
          <w:tcPr>
            <w:tcW w:w="2251" w:type="dxa"/>
            <w:shd w:val="clear" w:color="auto" w:fill="auto"/>
          </w:tcPr>
          <w:p>
            <w:pPr>
              <w:rPr>
                <w:sz w:val="22"/>
                <w:szCs w:val="22"/>
                <w:lang w:val="es-ES"/>
              </w:rPr>
            </w:pPr>
            <w:r>
              <w:rPr>
                <w:i/>
                <w:sz w:val="22"/>
                <w:szCs w:val="22"/>
                <w:lang w:val="es-ES"/>
              </w:rPr>
              <w:br/>
            </w:r>
            <w:r>
              <w:rPr>
                <w:i/>
                <w:color w:val="212121"/>
                <w:sz w:val="22"/>
                <w:szCs w:val="22"/>
                <w:shd w:val="clear" w:color="auto" w:fill="FFFFFF"/>
                <w:lang w:val="es-ES"/>
              </w:rPr>
              <w:t>[incluya el nombre completo (apellidos, primer nombre), nacionalidad, país de residencia]</w:t>
            </w:r>
            <w:r>
              <w:rPr>
                <w:sz w:val="22"/>
                <w:szCs w:val="22"/>
                <w:lang w:val="es-ES"/>
              </w:rPr>
              <w:t xml:space="preserve"> </w:t>
            </w:r>
          </w:p>
        </w:tc>
        <w:tc>
          <w:tcPr>
            <w:tcW w:w="2377" w:type="dxa"/>
            <w:shd w:val="clear" w:color="auto" w:fill="auto"/>
          </w:tcPr>
          <w:p>
            <w:pPr>
              <w:pStyle w:val="Textoindependiente"/>
              <w:spacing w:before="40" w:after="160"/>
              <w:jc w:val="center"/>
              <w:rPr>
                <w:rFonts w:ascii="Times New Roman" w:hAnsi="Times New Roman" w:cs="Times New Roman"/>
                <w:sz w:val="22"/>
                <w:szCs w:val="22"/>
                <w:lang w:val="es-ES"/>
              </w:rPr>
            </w:pPr>
          </w:p>
        </w:tc>
        <w:tc>
          <w:tcPr>
            <w:tcW w:w="1973" w:type="dxa"/>
            <w:shd w:val="clear" w:color="auto" w:fill="auto"/>
          </w:tcPr>
          <w:p>
            <w:pPr>
              <w:pStyle w:val="Textoindependiente"/>
              <w:spacing w:before="40" w:after="160"/>
              <w:rPr>
                <w:rFonts w:ascii="Times New Roman" w:hAnsi="Times New Roman" w:cs="Times New Roman"/>
                <w:sz w:val="22"/>
                <w:szCs w:val="22"/>
                <w:lang w:val="es-ES"/>
              </w:rPr>
            </w:pPr>
          </w:p>
        </w:tc>
        <w:tc>
          <w:tcPr>
            <w:tcW w:w="3031" w:type="dxa"/>
            <w:shd w:val="clear" w:color="auto" w:fill="auto"/>
          </w:tcPr>
          <w:p>
            <w:pPr>
              <w:pStyle w:val="Textoindependiente"/>
              <w:spacing w:before="40" w:after="160"/>
              <w:rPr>
                <w:rFonts w:ascii="Times New Roman" w:hAnsi="Times New Roman" w:cs="Times New Roman"/>
                <w:sz w:val="22"/>
                <w:szCs w:val="22"/>
                <w:lang w:val="es-ES"/>
              </w:rPr>
            </w:pPr>
          </w:p>
        </w:tc>
      </w:tr>
    </w:tbl>
    <w:p>
      <w:pPr>
        <w:rPr>
          <w:sz w:val="22"/>
          <w:szCs w:val="22"/>
          <w:lang w:val="es-ES"/>
        </w:rPr>
      </w:pPr>
    </w:p>
    <w:p>
      <w:pPr>
        <w:rPr>
          <w:b/>
          <w:i/>
          <w:sz w:val="22"/>
          <w:szCs w:val="22"/>
          <w:lang w:val="es-ES"/>
        </w:rPr>
      </w:pPr>
      <w:r>
        <w:rPr>
          <w:b/>
          <w:i/>
          <w:sz w:val="22"/>
          <w:szCs w:val="22"/>
          <w:lang w:val="es-ES"/>
        </w:rPr>
        <w:t>O bien</w:t>
      </w:r>
    </w:p>
    <w:p>
      <w:pPr>
        <w:rPr>
          <w:i/>
          <w:sz w:val="22"/>
          <w:szCs w:val="22"/>
          <w:lang w:val="es-ES"/>
        </w:rPr>
      </w:pPr>
    </w:p>
    <w:p>
      <w:pPr>
        <w:ind w:left="284" w:hanging="284"/>
        <w:jc w:val="both"/>
        <w:rPr>
          <w:sz w:val="22"/>
          <w:szCs w:val="22"/>
          <w:lang w:val="es-ES"/>
        </w:rPr>
      </w:pPr>
      <w:r>
        <w:rPr>
          <w:sz w:val="22"/>
          <w:szCs w:val="22"/>
          <w:lang w:val="es-ES"/>
        </w:rPr>
        <w:lastRenderedPageBreak/>
        <w:t>(ii) Declaramos que no hay ningún Propietario Efectivo que cumpla una o más de las siguientes condiciones:</w:t>
      </w:r>
    </w:p>
    <w:p>
      <w:pPr>
        <w:pStyle w:val="Prrafodelista"/>
        <w:numPr>
          <w:ilvl w:val="0"/>
          <w:numId w:val="68"/>
        </w:numPr>
        <w:rPr>
          <w:sz w:val="22"/>
          <w:szCs w:val="22"/>
          <w:lang w:val="es-ES"/>
        </w:rPr>
      </w:pPr>
      <w:r>
        <w:rPr>
          <w:sz w:val="22"/>
          <w:szCs w:val="22"/>
          <w:lang w:val="es-ES"/>
        </w:rPr>
        <w:t>posee directa o indirectamente el 25% o más de las acciones</w:t>
      </w:r>
    </w:p>
    <w:p>
      <w:pPr>
        <w:pStyle w:val="Prrafodelista"/>
        <w:numPr>
          <w:ilvl w:val="0"/>
          <w:numId w:val="68"/>
        </w:numPr>
        <w:rPr>
          <w:sz w:val="22"/>
          <w:szCs w:val="22"/>
          <w:lang w:val="es-ES"/>
        </w:rPr>
      </w:pPr>
      <w:r>
        <w:rPr>
          <w:sz w:val="22"/>
          <w:szCs w:val="22"/>
          <w:lang w:val="es-ES"/>
        </w:rPr>
        <w:t>posee directa o indirectamente el 25% o más de los derechos de voto</w:t>
      </w:r>
    </w:p>
    <w:p>
      <w:pPr>
        <w:pStyle w:val="Prrafodelista"/>
        <w:numPr>
          <w:ilvl w:val="0"/>
          <w:numId w:val="68"/>
        </w:numPr>
        <w:rPr>
          <w:sz w:val="22"/>
          <w:szCs w:val="22"/>
          <w:lang w:val="es-ES"/>
        </w:rPr>
      </w:pPr>
      <w:r>
        <w:rPr>
          <w:sz w:val="22"/>
          <w:szCs w:val="22"/>
          <w:lang w:val="es-ES"/>
        </w:rPr>
        <w:t>tiene directa o indirectamente el derecho de nombrar a la mayoría del consejo de administración, junta directiva u órgano de gobierno equivalente del Oferente</w:t>
      </w:r>
    </w:p>
    <w:p>
      <w:pPr>
        <w:rPr>
          <w:i/>
          <w:sz w:val="22"/>
          <w:szCs w:val="22"/>
          <w:lang w:val="es-ES"/>
        </w:rPr>
      </w:pPr>
    </w:p>
    <w:p>
      <w:pPr>
        <w:rPr>
          <w:b/>
          <w:i/>
          <w:sz w:val="22"/>
          <w:szCs w:val="22"/>
          <w:lang w:val="es-ES"/>
        </w:rPr>
      </w:pPr>
      <w:r>
        <w:rPr>
          <w:b/>
          <w:i/>
          <w:sz w:val="22"/>
          <w:szCs w:val="22"/>
          <w:lang w:val="es-ES"/>
        </w:rPr>
        <w:t xml:space="preserve">O bien </w:t>
      </w:r>
    </w:p>
    <w:p>
      <w:pPr>
        <w:ind w:left="142" w:hanging="142"/>
        <w:jc w:val="both"/>
        <w:rPr>
          <w:color w:val="212121"/>
          <w:sz w:val="22"/>
          <w:szCs w:val="22"/>
          <w:shd w:val="clear" w:color="auto" w:fill="FFFFFF"/>
          <w:lang w:val="es-ES"/>
        </w:rPr>
      </w:pPr>
      <w:r>
        <w:rPr>
          <w:sz w:val="22"/>
          <w:szCs w:val="22"/>
          <w:lang w:val="es-ES"/>
        </w:rPr>
        <w:br/>
        <w:t xml:space="preserve">(iii)  Declaramos que no podemos identificar a ningún Propietario Efectivo que cumpla una o más de las siguientes condiciones: </w:t>
      </w:r>
      <w:r>
        <w:rPr>
          <w:i/>
          <w:sz w:val="22"/>
          <w:szCs w:val="22"/>
          <w:lang w:val="es-ES"/>
        </w:rPr>
        <w:t>[</w:t>
      </w:r>
      <w:r>
        <w:rPr>
          <w:sz w:val="22"/>
          <w:szCs w:val="22"/>
          <w:lang w:val="es-ES"/>
        </w:rPr>
        <w:t>Si</w:t>
      </w:r>
      <w:r>
        <w:rPr>
          <w:i/>
          <w:sz w:val="22"/>
          <w:szCs w:val="22"/>
          <w:lang w:val="es-ES"/>
        </w:rPr>
        <w:t xml:space="preserve"> se selecciona esta opción, el Oferente deberá explicar por qué no puede identificar a ningún Propietario Efectivo]:</w:t>
      </w:r>
    </w:p>
    <w:p>
      <w:pPr>
        <w:rPr>
          <w:color w:val="212121"/>
          <w:sz w:val="22"/>
          <w:szCs w:val="22"/>
          <w:shd w:val="clear" w:color="auto" w:fill="FFFFFF"/>
          <w:lang w:val="es-ES"/>
        </w:rPr>
      </w:pPr>
    </w:p>
    <w:p>
      <w:pPr>
        <w:pStyle w:val="Prrafodelista"/>
        <w:numPr>
          <w:ilvl w:val="0"/>
          <w:numId w:val="68"/>
        </w:numPr>
        <w:rPr>
          <w:sz w:val="22"/>
          <w:szCs w:val="22"/>
          <w:lang w:val="es-ES"/>
        </w:rPr>
      </w:pPr>
      <w:r>
        <w:rPr>
          <w:sz w:val="22"/>
          <w:szCs w:val="22"/>
          <w:lang w:val="es-ES"/>
        </w:rPr>
        <w:t>que posea directa o indirectamente el 25% o más de las acciones</w:t>
      </w:r>
    </w:p>
    <w:p>
      <w:pPr>
        <w:pStyle w:val="Prrafodelista"/>
        <w:numPr>
          <w:ilvl w:val="0"/>
          <w:numId w:val="68"/>
        </w:numPr>
        <w:rPr>
          <w:sz w:val="22"/>
          <w:szCs w:val="22"/>
          <w:lang w:val="es-ES"/>
        </w:rPr>
      </w:pPr>
      <w:r>
        <w:rPr>
          <w:sz w:val="22"/>
          <w:szCs w:val="22"/>
          <w:lang w:val="es-ES"/>
        </w:rPr>
        <w:t xml:space="preserve">que posea directa o indirectamente el 25% o más de los derechos de voto </w:t>
      </w:r>
    </w:p>
    <w:p>
      <w:pPr>
        <w:pStyle w:val="Prrafodelista"/>
        <w:numPr>
          <w:ilvl w:val="0"/>
          <w:numId w:val="68"/>
        </w:numPr>
        <w:rPr>
          <w:sz w:val="22"/>
          <w:szCs w:val="22"/>
          <w:lang w:val="es-ES"/>
        </w:rPr>
      </w:pPr>
      <w:r>
        <w:rPr>
          <w:sz w:val="22"/>
          <w:szCs w:val="22"/>
          <w:lang w:val="es-ES"/>
        </w:rPr>
        <w:t>que tenga directa o indirectamente el derecho de designar a la mayoría del consejo de administración, junta directiva u órgano de gobierno equivalente del Oferente</w:t>
      </w:r>
    </w:p>
    <w:p>
      <w:pPr>
        <w:rPr>
          <w:sz w:val="22"/>
          <w:szCs w:val="22"/>
          <w:lang w:val="es-ES"/>
        </w:rPr>
      </w:pPr>
    </w:p>
    <w:p>
      <w:pPr>
        <w:tabs>
          <w:tab w:val="right" w:pos="4140"/>
          <w:tab w:val="left" w:pos="4500"/>
          <w:tab w:val="right" w:pos="9000"/>
          <w:tab w:val="left" w:pos="10080"/>
          <w:tab w:val="left" w:pos="10170"/>
        </w:tabs>
        <w:spacing w:before="240"/>
        <w:rPr>
          <w:sz w:val="22"/>
          <w:szCs w:val="22"/>
          <w:lang w:val="es-ES"/>
        </w:rPr>
      </w:pPr>
      <w:r>
        <w:rPr>
          <w:b/>
          <w:sz w:val="22"/>
          <w:szCs w:val="22"/>
          <w:lang w:val="es-ES"/>
        </w:rPr>
        <w:t>Nombre del Oferente:</w:t>
      </w:r>
      <w:r>
        <w:rPr>
          <w:sz w:val="22"/>
          <w:szCs w:val="22"/>
          <w:lang w:val="es-ES"/>
        </w:rPr>
        <w:t xml:space="preserve"> </w:t>
      </w:r>
      <w:r>
        <w:rPr>
          <w:i/>
          <w:sz w:val="22"/>
          <w:szCs w:val="22"/>
          <w:lang w:val="es-ES"/>
        </w:rPr>
        <w:t>*[indique el nombre completo de la persona que firma la Oferta]</w:t>
      </w:r>
    </w:p>
    <w:p>
      <w:pPr>
        <w:tabs>
          <w:tab w:val="right" w:pos="4140"/>
          <w:tab w:val="left" w:pos="4500"/>
          <w:tab w:val="right" w:pos="9000"/>
          <w:tab w:val="left" w:pos="10080"/>
          <w:tab w:val="left" w:pos="10170"/>
        </w:tabs>
        <w:spacing w:before="240"/>
        <w:rPr>
          <w:sz w:val="22"/>
          <w:szCs w:val="22"/>
          <w:lang w:val="es-ES"/>
        </w:rPr>
      </w:pPr>
      <w:r>
        <w:rPr>
          <w:b/>
          <w:sz w:val="22"/>
          <w:szCs w:val="22"/>
          <w:lang w:val="es-ES"/>
        </w:rPr>
        <w:t xml:space="preserve">Nombre de la persona debidamente autorizada para firmar la Oferta en representación </w:t>
      </w:r>
      <w:r>
        <w:rPr>
          <w:b/>
          <w:sz w:val="22"/>
          <w:szCs w:val="22"/>
          <w:lang w:val="es-ES"/>
        </w:rPr>
        <w:br/>
        <w:t>del Oferente:</w:t>
      </w:r>
      <w:r>
        <w:rPr>
          <w:sz w:val="22"/>
          <w:szCs w:val="22"/>
          <w:lang w:val="es-ES"/>
        </w:rPr>
        <w:t xml:space="preserve"> </w:t>
      </w:r>
      <w:r>
        <w:rPr>
          <w:i/>
          <w:sz w:val="22"/>
          <w:szCs w:val="22"/>
          <w:lang w:val="es-ES"/>
        </w:rPr>
        <w:t>**[indique el nombre completo de la persona debidamente autorizada para firmar la Oferta]</w:t>
      </w:r>
    </w:p>
    <w:p>
      <w:pPr>
        <w:tabs>
          <w:tab w:val="right" w:pos="4140"/>
          <w:tab w:val="left" w:pos="4500"/>
          <w:tab w:val="right" w:pos="9000"/>
          <w:tab w:val="left" w:pos="10080"/>
          <w:tab w:val="left" w:pos="10170"/>
        </w:tabs>
        <w:spacing w:before="240"/>
        <w:rPr>
          <w:sz w:val="22"/>
          <w:szCs w:val="22"/>
          <w:lang w:val="es-ES"/>
        </w:rPr>
      </w:pPr>
      <w:r>
        <w:rPr>
          <w:b/>
          <w:sz w:val="22"/>
          <w:szCs w:val="22"/>
          <w:lang w:val="es-ES"/>
        </w:rPr>
        <w:t>Cargo de la persona que firma la Oferta:</w:t>
      </w:r>
      <w:r>
        <w:rPr>
          <w:sz w:val="22"/>
          <w:szCs w:val="22"/>
          <w:lang w:val="es-ES"/>
        </w:rPr>
        <w:t xml:space="preserve"> </w:t>
      </w:r>
      <w:r>
        <w:rPr>
          <w:i/>
          <w:sz w:val="22"/>
          <w:szCs w:val="22"/>
          <w:lang w:val="es-ES"/>
        </w:rPr>
        <w:t>[indique el cargo completo de la persona que firma la Oferta]</w:t>
      </w:r>
    </w:p>
    <w:p>
      <w:pPr>
        <w:tabs>
          <w:tab w:val="right" w:pos="4140"/>
          <w:tab w:val="left" w:pos="4500"/>
          <w:tab w:val="right" w:pos="9000"/>
          <w:tab w:val="left" w:pos="10080"/>
          <w:tab w:val="left" w:pos="10170"/>
        </w:tabs>
        <w:spacing w:before="240"/>
        <w:rPr>
          <w:sz w:val="22"/>
          <w:szCs w:val="22"/>
          <w:lang w:val="es-ES"/>
        </w:rPr>
      </w:pPr>
      <w:r>
        <w:rPr>
          <w:b/>
          <w:sz w:val="22"/>
          <w:szCs w:val="22"/>
          <w:lang w:val="es-ES"/>
        </w:rPr>
        <w:t>Firma de la persona mencionada más arriba:</w:t>
      </w:r>
      <w:r>
        <w:rPr>
          <w:sz w:val="22"/>
          <w:szCs w:val="22"/>
          <w:lang w:val="es-ES"/>
        </w:rPr>
        <w:t xml:space="preserve"> </w:t>
      </w:r>
      <w:r>
        <w:rPr>
          <w:i/>
          <w:sz w:val="22"/>
          <w:szCs w:val="22"/>
          <w:lang w:val="es-ES"/>
        </w:rPr>
        <w:t>[firma de la persona cuyo nombre y cargo se indican más arriba]</w:t>
      </w:r>
    </w:p>
    <w:p>
      <w:pPr>
        <w:tabs>
          <w:tab w:val="right" w:pos="4140"/>
          <w:tab w:val="left" w:pos="4500"/>
          <w:tab w:val="right" w:pos="9000"/>
          <w:tab w:val="left" w:pos="10080"/>
          <w:tab w:val="left" w:pos="10170"/>
        </w:tabs>
        <w:spacing w:before="240"/>
        <w:rPr>
          <w:sz w:val="22"/>
          <w:szCs w:val="22"/>
          <w:u w:val="single"/>
          <w:lang w:val="es-ES"/>
        </w:rPr>
      </w:pPr>
      <w:r>
        <w:rPr>
          <w:b/>
          <w:sz w:val="22"/>
          <w:szCs w:val="22"/>
          <w:lang w:val="es-ES"/>
        </w:rPr>
        <w:t>Fecha de la firma:</w:t>
      </w:r>
      <w:r>
        <w:rPr>
          <w:sz w:val="22"/>
          <w:szCs w:val="22"/>
          <w:lang w:val="es-ES"/>
        </w:rPr>
        <w:t xml:space="preserve"> </w:t>
      </w:r>
      <w:r>
        <w:rPr>
          <w:i/>
          <w:sz w:val="22"/>
          <w:szCs w:val="22"/>
          <w:lang w:val="es-ES"/>
        </w:rPr>
        <w:t>[indique la fecha de la firma]</w:t>
      </w:r>
      <w:r>
        <w:rPr>
          <w:sz w:val="22"/>
          <w:szCs w:val="22"/>
          <w:lang w:val="es-ES"/>
        </w:rPr>
        <w:t xml:space="preserve"> </w:t>
      </w:r>
      <w:r>
        <w:rPr>
          <w:i/>
          <w:sz w:val="22"/>
          <w:szCs w:val="22"/>
          <w:lang w:val="es-ES"/>
        </w:rPr>
        <w:t>[indique el día, el mes y el año]</w:t>
      </w:r>
    </w:p>
    <w:p>
      <w:pPr>
        <w:tabs>
          <w:tab w:val="right" w:pos="9000"/>
          <w:tab w:val="left" w:pos="10080"/>
          <w:tab w:val="left" w:pos="10170"/>
        </w:tabs>
        <w:spacing w:before="240"/>
        <w:rPr>
          <w:sz w:val="22"/>
          <w:szCs w:val="22"/>
          <w:lang w:val="es-ES"/>
        </w:rPr>
      </w:pPr>
      <w:r>
        <w:rPr>
          <w:sz w:val="22"/>
          <w:szCs w:val="22"/>
          <w:lang w:val="es-ES"/>
        </w:rPr>
        <w:t>Firmado a los ______________ días del mes de ______________de _________.</w:t>
      </w:r>
    </w:p>
    <w:p>
      <w:pPr>
        <w:jc w:val="both"/>
        <w:rPr>
          <w:sz w:val="20"/>
          <w:lang w:val="es-ES"/>
        </w:rPr>
      </w:pPr>
    </w:p>
    <w:p>
      <w:pPr>
        <w:jc w:val="both"/>
        <w:rPr>
          <w:sz w:val="18"/>
          <w:szCs w:val="22"/>
          <w:lang w:val="es-ES"/>
        </w:rPr>
      </w:pPr>
      <w:r>
        <w:rPr>
          <w:sz w:val="18"/>
          <w:szCs w:val="22"/>
          <w:lang w:val="es-ES"/>
        </w:rPr>
        <w:t xml:space="preserve">* </w:t>
      </w:r>
      <w:r>
        <w:rPr>
          <w:sz w:val="18"/>
          <w:szCs w:val="18"/>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pPr>
        <w:jc w:val="both"/>
        <w:rPr>
          <w:sz w:val="18"/>
          <w:szCs w:val="18"/>
          <w:lang w:val="es-ES"/>
        </w:rPr>
      </w:pPr>
      <w:r>
        <w:rPr>
          <w:sz w:val="18"/>
          <w:szCs w:val="18"/>
          <w:lang w:val="es-ES"/>
        </w:rPr>
        <w:t>** La persona que firme la Oferta tendrá el poder otorgado por el Oferente. El poder se adjuntará a los documentos y formularios de la Oferta.</w:t>
      </w:r>
    </w:p>
    <w:p>
      <w:pPr>
        <w:rPr>
          <w:sz w:val="18"/>
          <w:szCs w:val="22"/>
          <w:lang w:val="es-ES"/>
        </w:rPr>
      </w:pPr>
      <w:r>
        <w:rPr>
          <w:sz w:val="18"/>
          <w:szCs w:val="22"/>
          <w:lang w:val="es-ES"/>
        </w:rPr>
        <w:t>***Queda entendido que cualquier información falsa o equívoca que haya sido provista en relación con este requerimiento pudiere acarrear acciones o sanciones por parte del Banco de acuerdo con sus normas y políticas.</w:t>
      </w:r>
    </w:p>
    <w:p>
      <w:pPr>
        <w:jc w:val="both"/>
        <w:rPr>
          <w:lang w:val="es-ES"/>
        </w:rPr>
      </w:pPr>
    </w:p>
    <w:p>
      <w:pPr>
        <w:tabs>
          <w:tab w:val="right" w:pos="9000"/>
          <w:tab w:val="left" w:pos="10080"/>
          <w:tab w:val="left" w:pos="10170"/>
        </w:tabs>
        <w:spacing w:before="240"/>
        <w:rPr>
          <w:lang w:val="es-ES"/>
        </w:rPr>
      </w:pPr>
      <w:r>
        <w:rPr>
          <w:lang w:val="es-ES"/>
        </w:rPr>
        <w:br w:type="page"/>
      </w:r>
    </w:p>
    <w:p>
      <w:pPr>
        <w:pStyle w:val="FormCGC"/>
        <w:rPr>
          <w:rFonts w:ascii="Times New Roman" w:hAnsi="Times New Roman" w:cs="Times New Roman"/>
        </w:rPr>
      </w:pPr>
      <w:bookmarkStart w:id="819" w:name="_Toc502819516"/>
      <w:bookmarkStart w:id="820" w:name="_Toc19112063"/>
      <w:bookmarkStart w:id="821" w:name="_Toc175253482"/>
      <w:r>
        <w:rPr>
          <w:rFonts w:ascii="Times New Roman" w:hAnsi="Times New Roman" w:cs="Times New Roman"/>
        </w:rPr>
        <w:lastRenderedPageBreak/>
        <w:t>Carta de Aceptación</w:t>
      </w:r>
      <w:bookmarkEnd w:id="814"/>
      <w:bookmarkEnd w:id="815"/>
      <w:bookmarkEnd w:id="816"/>
      <w:bookmarkEnd w:id="819"/>
      <w:bookmarkEnd w:id="820"/>
      <w:bookmarkEnd w:id="821"/>
    </w:p>
    <w:p>
      <w:pPr>
        <w:jc w:val="center"/>
        <w:rPr>
          <w:i/>
          <w:iCs/>
          <w:lang w:val="es-ES"/>
        </w:rPr>
      </w:pPr>
    </w:p>
    <w:p>
      <w:pPr>
        <w:jc w:val="center"/>
        <w:rPr>
          <w:i/>
          <w:sz w:val="22"/>
          <w:szCs w:val="22"/>
          <w:lang w:val="es-ES"/>
        </w:rPr>
      </w:pPr>
      <w:r>
        <w:rPr>
          <w:i/>
          <w:iCs/>
          <w:sz w:val="22"/>
          <w:szCs w:val="22"/>
          <w:lang w:val="es-ES"/>
        </w:rPr>
        <w:t>[utilice papel con membrete del Comprador]</w:t>
      </w:r>
    </w:p>
    <w:p>
      <w:pPr>
        <w:rPr>
          <w:sz w:val="22"/>
          <w:szCs w:val="22"/>
          <w:lang w:val="es-ES"/>
        </w:rPr>
      </w:pPr>
    </w:p>
    <w:p>
      <w:pPr>
        <w:jc w:val="right"/>
        <w:rPr>
          <w:sz w:val="22"/>
          <w:szCs w:val="22"/>
          <w:lang w:val="es-ES"/>
        </w:rPr>
      </w:pPr>
      <w:r>
        <w:rPr>
          <w:i/>
          <w:iCs/>
          <w:sz w:val="22"/>
          <w:szCs w:val="22"/>
          <w:lang w:val="es-ES"/>
        </w:rPr>
        <w:t>[Fecha]</w:t>
      </w:r>
    </w:p>
    <w:p>
      <w:pPr>
        <w:jc w:val="both"/>
        <w:rPr>
          <w:sz w:val="22"/>
          <w:szCs w:val="22"/>
          <w:lang w:val="es-ES"/>
        </w:rPr>
      </w:pPr>
      <w:r>
        <w:rPr>
          <w:sz w:val="22"/>
          <w:szCs w:val="22"/>
          <w:lang w:val="es-ES"/>
        </w:rPr>
        <w:t>Para:</w:t>
      </w:r>
      <w:r>
        <w:rPr>
          <w:i/>
          <w:iCs/>
          <w:sz w:val="22"/>
          <w:szCs w:val="22"/>
          <w:lang w:val="es-ES"/>
        </w:rPr>
        <w:fldChar w:fldCharType="begin"/>
      </w:r>
      <w:r>
        <w:rPr>
          <w:i/>
          <w:iCs/>
          <w:sz w:val="22"/>
          <w:szCs w:val="22"/>
          <w:lang w:val="es-ES"/>
        </w:rPr>
        <w:instrText>ADVANCE \D 1.90</w:instrText>
      </w:r>
      <w:r>
        <w:rPr>
          <w:i/>
          <w:iCs/>
          <w:sz w:val="22"/>
          <w:szCs w:val="22"/>
          <w:lang w:val="es-ES"/>
        </w:rPr>
        <w:fldChar w:fldCharType="end"/>
      </w:r>
      <w:r>
        <w:rPr>
          <w:i/>
          <w:iCs/>
          <w:sz w:val="22"/>
          <w:szCs w:val="22"/>
          <w:lang w:val="es-ES"/>
        </w:rPr>
        <w:t>[nombre y dirección del Proveedor]</w:t>
      </w:r>
    </w:p>
    <w:p>
      <w:pPr>
        <w:jc w:val="both"/>
        <w:rPr>
          <w:sz w:val="22"/>
          <w:szCs w:val="22"/>
          <w:lang w:val="es-ES"/>
        </w:rPr>
      </w:pPr>
    </w:p>
    <w:p>
      <w:pPr>
        <w:ind w:left="360" w:right="288"/>
        <w:jc w:val="both"/>
        <w:rPr>
          <w:sz w:val="22"/>
          <w:szCs w:val="22"/>
          <w:lang w:val="es-ES"/>
        </w:rPr>
      </w:pPr>
    </w:p>
    <w:p>
      <w:pPr>
        <w:ind w:right="288"/>
        <w:jc w:val="both"/>
        <w:rPr>
          <w:sz w:val="22"/>
          <w:szCs w:val="22"/>
          <w:lang w:val="es-ES"/>
        </w:rPr>
      </w:pPr>
      <w:r>
        <w:rPr>
          <w:sz w:val="22"/>
          <w:szCs w:val="22"/>
          <w:lang w:val="es-ES"/>
        </w:rPr>
        <w:t>Asunto:</w:t>
      </w:r>
      <w:r>
        <w:rPr>
          <w:b/>
          <w:bCs/>
          <w:i/>
          <w:iCs/>
          <w:sz w:val="22"/>
          <w:szCs w:val="22"/>
          <w:lang w:val="es-ES"/>
        </w:rPr>
        <w:t xml:space="preserve"> Notificación de la Adjudicación del Contrato n.</w:t>
      </w:r>
      <w:r>
        <w:rPr>
          <w:b/>
          <w:bCs/>
          <w:i/>
          <w:iCs/>
          <w:sz w:val="22"/>
          <w:szCs w:val="22"/>
          <w:vertAlign w:val="superscript"/>
          <w:lang w:val="es-ES"/>
        </w:rPr>
        <w:t>o</w:t>
      </w:r>
      <w:r>
        <w:rPr>
          <w:b/>
          <w:bCs/>
          <w:i/>
          <w:iCs/>
          <w:sz w:val="22"/>
          <w:szCs w:val="22"/>
          <w:lang w:val="es-ES"/>
        </w:rPr>
        <w:t>:</w:t>
      </w:r>
    </w:p>
    <w:p>
      <w:pPr>
        <w:ind w:left="360" w:right="288"/>
        <w:jc w:val="both"/>
        <w:rPr>
          <w:sz w:val="22"/>
          <w:szCs w:val="22"/>
          <w:lang w:val="es-ES"/>
        </w:rPr>
      </w:pPr>
    </w:p>
    <w:p>
      <w:pPr>
        <w:ind w:left="360" w:right="288"/>
        <w:jc w:val="both"/>
        <w:rPr>
          <w:sz w:val="22"/>
          <w:szCs w:val="22"/>
          <w:lang w:val="es-ES"/>
        </w:rPr>
      </w:pPr>
    </w:p>
    <w:p>
      <w:pPr>
        <w:jc w:val="both"/>
        <w:rPr>
          <w:sz w:val="22"/>
          <w:szCs w:val="22"/>
          <w:lang w:val="es-ES"/>
        </w:rPr>
      </w:pPr>
    </w:p>
    <w:p>
      <w:pPr>
        <w:pStyle w:val="Sangradetextonormal"/>
        <w:ind w:left="180" w:right="288"/>
        <w:jc w:val="both"/>
        <w:rPr>
          <w:rFonts w:ascii="Times New Roman" w:hAnsi="Times New Roman" w:cs="Times New Roman"/>
          <w:iCs/>
          <w:sz w:val="22"/>
          <w:szCs w:val="22"/>
          <w:lang w:val="es-ES"/>
        </w:rPr>
      </w:pPr>
      <w:r>
        <w:rPr>
          <w:rFonts w:ascii="Times New Roman" w:hAnsi="Times New Roman" w:cs="Times New Roman"/>
          <w:sz w:val="22"/>
          <w:szCs w:val="22"/>
          <w:lang w:val="es-ES"/>
        </w:rPr>
        <w:t xml:space="preserve">Por medio de la presente le hacemos saber que nuestra Agencia ha decidido aceptar su Oferta de fecha </w:t>
      </w:r>
      <w:r>
        <w:rPr>
          <w:rFonts w:ascii="Times New Roman" w:hAnsi="Times New Roman" w:cs="Times New Roman"/>
          <w:b/>
          <w:i/>
          <w:iCs/>
          <w:sz w:val="22"/>
          <w:szCs w:val="22"/>
          <w:lang w:val="es-ES"/>
        </w:rPr>
        <w:t>[indique fecha]</w:t>
      </w:r>
      <w:r>
        <w:rPr>
          <w:rFonts w:ascii="Times New Roman" w:hAnsi="Times New Roman" w:cs="Times New Roman"/>
          <w:sz w:val="22"/>
          <w:szCs w:val="22"/>
          <w:lang w:val="es-ES"/>
        </w:rPr>
        <w:t xml:space="preserve"> para la ejecución de </w:t>
      </w:r>
      <w:r>
        <w:rPr>
          <w:rFonts w:ascii="Times New Roman" w:hAnsi="Times New Roman" w:cs="Times New Roman"/>
          <w:b/>
          <w:i/>
          <w:iCs/>
          <w:sz w:val="22"/>
          <w:szCs w:val="22"/>
          <w:lang w:val="es-ES"/>
        </w:rPr>
        <w:t>[indique el nombre del Contrato y el número de identificación, según se indica en las CEC]</w:t>
      </w:r>
      <w:r>
        <w:rPr>
          <w:rFonts w:ascii="Times New Roman" w:hAnsi="Times New Roman" w:cs="Times New Roman"/>
          <w:sz w:val="22"/>
          <w:szCs w:val="22"/>
          <w:lang w:val="es-ES"/>
        </w:rPr>
        <w:t xml:space="preserve">, por el Precio del Contrato aceptado de </w:t>
      </w:r>
      <w:r>
        <w:rPr>
          <w:rFonts w:ascii="Times New Roman" w:hAnsi="Times New Roman" w:cs="Times New Roman"/>
          <w:b/>
          <w:i/>
          <w:iCs/>
          <w:sz w:val="22"/>
          <w:szCs w:val="22"/>
          <w:lang w:val="es-ES"/>
        </w:rPr>
        <w:t>[indique el precio del Contrato en números y letras y la moneda]</w:t>
      </w:r>
      <w:r>
        <w:rPr>
          <w:rFonts w:ascii="Times New Roman" w:hAnsi="Times New Roman" w:cs="Times New Roman"/>
          <w:sz w:val="22"/>
          <w:szCs w:val="22"/>
          <w:lang w:val="es-ES"/>
        </w:rPr>
        <w:t>, con las correcciones y modificaciones realizadas según las Instrucciones a los Oferentes.</w:t>
      </w:r>
    </w:p>
    <w:p>
      <w:pPr>
        <w:pStyle w:val="Sangradetextonormal"/>
        <w:ind w:left="180" w:right="288"/>
        <w:jc w:val="both"/>
        <w:rPr>
          <w:rFonts w:ascii="Times New Roman" w:hAnsi="Times New Roman" w:cs="Times New Roman"/>
          <w:iCs/>
          <w:sz w:val="22"/>
          <w:szCs w:val="22"/>
          <w:lang w:val="es-ES"/>
        </w:rPr>
      </w:pPr>
    </w:p>
    <w:p>
      <w:pPr>
        <w:pStyle w:val="Sangradetextonormal"/>
        <w:ind w:left="180" w:right="288"/>
        <w:jc w:val="both"/>
        <w:rPr>
          <w:rFonts w:ascii="Times New Roman" w:hAnsi="Times New Roman" w:cs="Times New Roman"/>
          <w:iCs/>
          <w:sz w:val="22"/>
          <w:szCs w:val="22"/>
          <w:lang w:val="es-ES"/>
        </w:rPr>
      </w:pPr>
      <w:r>
        <w:rPr>
          <w:rFonts w:ascii="Times New Roman" w:hAnsi="Times New Roman" w:cs="Times New Roman"/>
          <w:sz w:val="22"/>
          <w:szCs w:val="22"/>
          <w:lang w:val="es-ES"/>
        </w:rPr>
        <w:t>Se le solicita que presente (i) la Garantía de Cumplimiento dentro de un plazo de 28 días, de acuerdo con las Condiciones del Contrato; para ello, deberá utilizar el formulario de Garantía de Cumplimiento; y (ii) la información adicional sobre la Propiedad Efectiva de conformidad con los DDL en referencia a IAO 43.1, dentro de los siguientes 8 (ocho) días hábiles empleando el Formulario de Divulgación de la Propiedad Efectiva, incluidos en la Sección IX, Formularios del Contrato.</w:t>
      </w:r>
    </w:p>
    <w:p>
      <w:pPr>
        <w:jc w:val="both"/>
        <w:rPr>
          <w:sz w:val="22"/>
          <w:szCs w:val="22"/>
          <w:lang w:val="es-ES"/>
        </w:rPr>
      </w:pPr>
    </w:p>
    <w:p>
      <w:pPr>
        <w:pStyle w:val="Encabezadodelista"/>
        <w:tabs>
          <w:tab w:val="clear" w:pos="9000"/>
          <w:tab w:val="clear" w:pos="9360"/>
        </w:tabs>
        <w:suppressAutoHyphens w:val="0"/>
        <w:rPr>
          <w:sz w:val="22"/>
          <w:szCs w:val="22"/>
          <w:lang w:val="es-ES"/>
        </w:rPr>
      </w:pPr>
    </w:p>
    <w:p>
      <w:pPr>
        <w:tabs>
          <w:tab w:val="left" w:pos="9000"/>
        </w:tabs>
        <w:jc w:val="both"/>
        <w:rPr>
          <w:sz w:val="22"/>
          <w:szCs w:val="22"/>
          <w:lang w:val="es-ES"/>
        </w:rPr>
      </w:pPr>
      <w:r>
        <w:rPr>
          <w:sz w:val="22"/>
          <w:szCs w:val="22"/>
          <w:lang w:val="es-ES"/>
        </w:rPr>
        <w:t>Firma de la persona autorizada:</w:t>
      </w:r>
      <w:r>
        <w:rPr>
          <w:sz w:val="22"/>
          <w:szCs w:val="22"/>
          <w:u w:val="single"/>
          <w:lang w:val="es-ES"/>
        </w:rPr>
        <w:tab/>
      </w:r>
    </w:p>
    <w:p>
      <w:pPr>
        <w:tabs>
          <w:tab w:val="left" w:pos="9000"/>
        </w:tabs>
        <w:jc w:val="both"/>
        <w:rPr>
          <w:sz w:val="22"/>
          <w:szCs w:val="22"/>
          <w:lang w:val="es-ES"/>
        </w:rPr>
      </w:pPr>
      <w:r>
        <w:rPr>
          <w:sz w:val="22"/>
          <w:szCs w:val="22"/>
          <w:lang w:val="es-ES"/>
        </w:rPr>
        <w:t>Nombre y cargo del firmante:</w:t>
      </w:r>
      <w:r>
        <w:rPr>
          <w:sz w:val="22"/>
          <w:szCs w:val="22"/>
          <w:u w:val="single"/>
          <w:lang w:val="es-ES"/>
        </w:rPr>
        <w:tab/>
      </w:r>
    </w:p>
    <w:p>
      <w:pPr>
        <w:tabs>
          <w:tab w:val="left" w:pos="9000"/>
        </w:tabs>
        <w:jc w:val="both"/>
        <w:rPr>
          <w:sz w:val="22"/>
          <w:szCs w:val="22"/>
          <w:lang w:val="es-ES"/>
        </w:rPr>
      </w:pPr>
      <w:r>
        <w:rPr>
          <w:sz w:val="22"/>
          <w:szCs w:val="22"/>
          <w:lang w:val="es-ES"/>
        </w:rPr>
        <w:t>Nombre de la Agencia:</w:t>
      </w:r>
      <w:r>
        <w:rPr>
          <w:sz w:val="22"/>
          <w:szCs w:val="22"/>
          <w:u w:val="single"/>
          <w:lang w:val="es-ES"/>
        </w:rPr>
        <w:tab/>
      </w:r>
    </w:p>
    <w:p>
      <w:pPr>
        <w:jc w:val="both"/>
        <w:rPr>
          <w:sz w:val="22"/>
          <w:szCs w:val="22"/>
          <w:lang w:val="es-ES"/>
        </w:rPr>
      </w:pPr>
    </w:p>
    <w:p>
      <w:pPr>
        <w:jc w:val="both"/>
        <w:rPr>
          <w:sz w:val="22"/>
          <w:szCs w:val="22"/>
          <w:lang w:val="es-ES"/>
        </w:rPr>
      </w:pPr>
    </w:p>
    <w:p>
      <w:pPr>
        <w:jc w:val="both"/>
        <w:rPr>
          <w:sz w:val="22"/>
          <w:szCs w:val="22"/>
          <w:lang w:val="es-ES"/>
        </w:rPr>
      </w:pPr>
      <w:r>
        <w:rPr>
          <w:b/>
          <w:bCs/>
          <w:sz w:val="22"/>
          <w:szCs w:val="22"/>
          <w:lang w:val="es-ES"/>
        </w:rPr>
        <w:t>Adjunto: Convenio Contractual</w:t>
      </w:r>
    </w:p>
    <w:p>
      <w:pPr>
        <w:rPr>
          <w:sz w:val="22"/>
          <w:szCs w:val="22"/>
          <w:lang w:val="es-ES"/>
        </w:rPr>
      </w:pPr>
    </w:p>
    <w:p>
      <w:pPr>
        <w:rPr>
          <w:sz w:val="22"/>
          <w:szCs w:val="22"/>
          <w:lang w:val="es-ES"/>
        </w:rPr>
      </w:pPr>
    </w:p>
    <w:p>
      <w:pPr>
        <w:pStyle w:val="FormCGC"/>
        <w:rPr>
          <w:rFonts w:ascii="Times New Roman" w:hAnsi="Times New Roman" w:cs="Times New Roman"/>
        </w:rPr>
      </w:pPr>
      <w:r>
        <w:rPr>
          <w:rFonts w:ascii="Times New Roman" w:hAnsi="Times New Roman" w:cs="Times New Roman"/>
        </w:rPr>
        <w:br w:type="page"/>
      </w:r>
      <w:bookmarkStart w:id="822" w:name="_Toc454621055"/>
      <w:bookmarkStart w:id="823" w:name="_Toc436904425"/>
      <w:bookmarkStart w:id="824" w:name="_Toc73333192"/>
      <w:bookmarkStart w:id="825" w:name="_Toc471555884"/>
      <w:bookmarkStart w:id="826" w:name="_Toc438907297"/>
      <w:bookmarkStart w:id="827" w:name="_Toc438907197"/>
      <w:bookmarkStart w:id="828" w:name="_Toc460506938"/>
      <w:bookmarkStart w:id="829" w:name="_Toc502819517"/>
      <w:bookmarkStart w:id="830" w:name="_Toc19112064"/>
      <w:bookmarkStart w:id="831" w:name="_Toc175253483"/>
      <w:r>
        <w:rPr>
          <w:rFonts w:ascii="Times New Roman" w:hAnsi="Times New Roman" w:cs="Times New Roman"/>
        </w:rPr>
        <w:lastRenderedPageBreak/>
        <w:t xml:space="preserve">Convenio </w:t>
      </w:r>
      <w:bookmarkEnd w:id="822"/>
      <w:bookmarkEnd w:id="823"/>
      <w:bookmarkEnd w:id="824"/>
      <w:bookmarkEnd w:id="825"/>
      <w:bookmarkEnd w:id="826"/>
      <w:bookmarkEnd w:id="827"/>
      <w:bookmarkEnd w:id="828"/>
      <w:bookmarkEnd w:id="829"/>
      <w:bookmarkEnd w:id="830"/>
      <w:r>
        <w:rPr>
          <w:rFonts w:ascii="Times New Roman" w:hAnsi="Times New Roman" w:cs="Times New Roman"/>
        </w:rPr>
        <w:t>Contractual</w:t>
      </w:r>
      <w:bookmarkEnd w:id="831"/>
    </w:p>
    <w:p>
      <w:pPr>
        <w:tabs>
          <w:tab w:val="left" w:pos="540"/>
        </w:tabs>
        <w:rPr>
          <w:i/>
          <w:iCs/>
          <w:lang w:val="es-ES"/>
        </w:rPr>
      </w:pPr>
    </w:p>
    <w:p>
      <w:pPr>
        <w:tabs>
          <w:tab w:val="left" w:pos="540"/>
        </w:tabs>
        <w:rPr>
          <w:i/>
          <w:iCs/>
          <w:sz w:val="22"/>
          <w:szCs w:val="22"/>
          <w:lang w:val="es-ES"/>
        </w:rPr>
      </w:pPr>
      <w:r>
        <w:rPr>
          <w:i/>
          <w:iCs/>
          <w:sz w:val="22"/>
          <w:szCs w:val="22"/>
          <w:lang w:val="es-ES"/>
        </w:rPr>
        <w:t>[El Oferente seleccionado completará este formulario de acuerdo con las instrucciones indicadas].</w:t>
      </w:r>
    </w:p>
    <w:p>
      <w:pPr>
        <w:pStyle w:val="Document1"/>
        <w:keepNext w:val="0"/>
        <w:keepLines w:val="0"/>
        <w:tabs>
          <w:tab w:val="clear" w:pos="-720"/>
          <w:tab w:val="left" w:pos="5400"/>
          <w:tab w:val="left" w:pos="8280"/>
        </w:tabs>
        <w:suppressAutoHyphens w:val="0"/>
        <w:rPr>
          <w:sz w:val="22"/>
          <w:szCs w:val="22"/>
          <w:lang w:val="es-ES"/>
        </w:rPr>
      </w:pPr>
    </w:p>
    <w:p>
      <w:pPr>
        <w:tabs>
          <w:tab w:val="left" w:pos="5400"/>
          <w:tab w:val="left" w:pos="8280"/>
        </w:tabs>
        <w:spacing w:after="200"/>
        <w:rPr>
          <w:sz w:val="22"/>
          <w:szCs w:val="22"/>
          <w:lang w:val="es-ES"/>
        </w:rPr>
      </w:pPr>
      <w:r>
        <w:rPr>
          <w:sz w:val="22"/>
          <w:szCs w:val="22"/>
          <w:lang w:val="es-ES"/>
        </w:rPr>
        <w:t>ESTE CONVENIO CONTRACTUAL se celebra</w:t>
      </w:r>
    </w:p>
    <w:p>
      <w:pPr>
        <w:tabs>
          <w:tab w:val="left" w:pos="720"/>
          <w:tab w:val="left" w:pos="2520"/>
          <w:tab w:val="left" w:pos="6120"/>
          <w:tab w:val="left" w:pos="7200"/>
        </w:tabs>
        <w:spacing w:after="200"/>
        <w:rPr>
          <w:sz w:val="22"/>
          <w:szCs w:val="22"/>
          <w:lang w:val="es-ES"/>
        </w:rPr>
      </w:pPr>
      <w:r>
        <w:rPr>
          <w:sz w:val="22"/>
          <w:szCs w:val="22"/>
          <w:lang w:val="es-ES"/>
        </w:rPr>
        <w:tab/>
        <w:t>el día</w:t>
      </w:r>
      <w:r>
        <w:rPr>
          <w:i/>
          <w:iCs/>
          <w:sz w:val="22"/>
          <w:szCs w:val="22"/>
          <w:lang w:val="es-ES"/>
        </w:rPr>
        <w:t xml:space="preserve"> [indique </w:t>
      </w:r>
      <w:r>
        <w:rPr>
          <w:b/>
          <w:i/>
          <w:iCs/>
          <w:sz w:val="22"/>
          <w:szCs w:val="22"/>
          <w:lang w:val="es-ES"/>
        </w:rPr>
        <w:t>número</w:t>
      </w:r>
      <w:r>
        <w:rPr>
          <w:i/>
          <w:iCs/>
          <w:sz w:val="22"/>
          <w:szCs w:val="22"/>
          <w:lang w:val="es-ES"/>
        </w:rPr>
        <w:t xml:space="preserve">] </w:t>
      </w:r>
      <w:r>
        <w:rPr>
          <w:sz w:val="22"/>
          <w:szCs w:val="22"/>
          <w:lang w:val="es-ES"/>
        </w:rPr>
        <w:t xml:space="preserve">de </w:t>
      </w:r>
      <w:r>
        <w:rPr>
          <w:i/>
          <w:iCs/>
          <w:sz w:val="22"/>
          <w:szCs w:val="22"/>
          <w:lang w:val="es-ES"/>
        </w:rPr>
        <w:t xml:space="preserve">[indique </w:t>
      </w:r>
      <w:r>
        <w:rPr>
          <w:b/>
          <w:i/>
          <w:iCs/>
          <w:sz w:val="22"/>
          <w:szCs w:val="22"/>
          <w:lang w:val="es-ES"/>
        </w:rPr>
        <w:t>mes</w:t>
      </w:r>
      <w:r>
        <w:rPr>
          <w:i/>
          <w:iCs/>
          <w:sz w:val="22"/>
          <w:szCs w:val="22"/>
          <w:lang w:val="es-ES"/>
        </w:rPr>
        <w:t xml:space="preserve">] </w:t>
      </w:r>
      <w:r>
        <w:rPr>
          <w:sz w:val="22"/>
          <w:szCs w:val="22"/>
          <w:lang w:val="es-ES"/>
        </w:rPr>
        <w:t xml:space="preserve">de </w:t>
      </w:r>
      <w:r>
        <w:rPr>
          <w:i/>
          <w:iCs/>
          <w:sz w:val="22"/>
          <w:szCs w:val="22"/>
          <w:lang w:val="es-ES"/>
        </w:rPr>
        <w:t xml:space="preserve">[indique </w:t>
      </w:r>
      <w:r>
        <w:rPr>
          <w:b/>
          <w:i/>
          <w:iCs/>
          <w:sz w:val="22"/>
          <w:szCs w:val="22"/>
          <w:lang w:val="es-ES"/>
        </w:rPr>
        <w:t>año</w:t>
      </w:r>
      <w:r>
        <w:rPr>
          <w:i/>
          <w:iCs/>
          <w:sz w:val="22"/>
          <w:szCs w:val="22"/>
          <w:lang w:val="es-ES"/>
        </w:rPr>
        <w:t>]</w:t>
      </w:r>
    </w:p>
    <w:p>
      <w:pPr>
        <w:spacing w:after="200"/>
        <w:rPr>
          <w:sz w:val="22"/>
          <w:szCs w:val="22"/>
          <w:lang w:val="es-ES"/>
        </w:rPr>
      </w:pPr>
    </w:p>
    <w:p>
      <w:pPr>
        <w:spacing w:after="200"/>
        <w:rPr>
          <w:sz w:val="22"/>
          <w:szCs w:val="22"/>
          <w:lang w:val="es-ES"/>
        </w:rPr>
      </w:pPr>
      <w:r>
        <w:rPr>
          <w:sz w:val="22"/>
          <w:szCs w:val="22"/>
          <w:lang w:val="es-ES"/>
        </w:rPr>
        <w:t>ENTRE</w:t>
      </w:r>
    </w:p>
    <w:p>
      <w:pPr>
        <w:pStyle w:val="Prrafodelista"/>
        <w:numPr>
          <w:ilvl w:val="1"/>
          <w:numId w:val="104"/>
        </w:numPr>
        <w:spacing w:after="200"/>
        <w:ind w:left="1440" w:hanging="720"/>
        <w:contextualSpacing w:val="0"/>
        <w:rPr>
          <w:sz w:val="22"/>
          <w:szCs w:val="22"/>
          <w:lang w:val="es-ES"/>
        </w:rPr>
      </w:pPr>
      <w:r>
        <w:rPr>
          <w:i/>
          <w:iCs/>
          <w:sz w:val="22"/>
          <w:szCs w:val="22"/>
          <w:lang w:val="es-ES"/>
        </w:rPr>
        <w:t>[Indique nombre completo del Comprador]</w:t>
      </w:r>
      <w:r>
        <w:rPr>
          <w:sz w:val="22"/>
          <w:szCs w:val="22"/>
          <w:lang w:val="es-ES"/>
        </w:rPr>
        <w:t xml:space="preserve">, </w:t>
      </w:r>
      <w:r>
        <w:rPr>
          <w:i/>
          <w:iCs/>
          <w:sz w:val="22"/>
          <w:szCs w:val="22"/>
          <w:lang w:val="es-ES"/>
        </w:rPr>
        <w:t>[indique la descripción de la entidad jurídica, por ejemplo, agencia del Ministerio de ... del Gobierno de {indique el nombre del País del Comprador}, o sociedad constituida al amparo de las leyes de {indique el nombre del País del Comprador}]</w:t>
      </w:r>
      <w:r>
        <w:rPr>
          <w:sz w:val="22"/>
          <w:szCs w:val="22"/>
          <w:lang w:val="es-ES"/>
        </w:rPr>
        <w:t xml:space="preserve">, con sede principal en </w:t>
      </w:r>
      <w:r>
        <w:rPr>
          <w:i/>
          <w:iCs/>
          <w:sz w:val="22"/>
          <w:szCs w:val="22"/>
          <w:lang w:val="es-ES"/>
        </w:rPr>
        <w:t xml:space="preserve">[indique la dirección del Comprador] </w:t>
      </w:r>
      <w:r>
        <w:rPr>
          <w:sz w:val="22"/>
          <w:szCs w:val="22"/>
          <w:lang w:val="es-ES"/>
        </w:rPr>
        <w:t xml:space="preserve">(en adelante, el “Comprador”), y </w:t>
      </w:r>
    </w:p>
    <w:p>
      <w:pPr>
        <w:pStyle w:val="Prrafodelista"/>
        <w:numPr>
          <w:ilvl w:val="1"/>
          <w:numId w:val="104"/>
        </w:numPr>
        <w:spacing w:after="200"/>
        <w:ind w:left="1440" w:hanging="720"/>
        <w:contextualSpacing w:val="0"/>
        <w:rPr>
          <w:sz w:val="22"/>
          <w:szCs w:val="22"/>
          <w:lang w:val="es-ES"/>
        </w:rPr>
      </w:pPr>
      <w:r>
        <w:rPr>
          <w:i/>
          <w:iCs/>
          <w:sz w:val="22"/>
          <w:szCs w:val="22"/>
          <w:lang w:val="es-ES"/>
        </w:rPr>
        <w:t xml:space="preserve">[Indique el nombre del Proveedor], </w:t>
      </w:r>
      <w:r>
        <w:rPr>
          <w:sz w:val="22"/>
          <w:szCs w:val="22"/>
          <w:lang w:val="es-ES"/>
        </w:rPr>
        <w:t xml:space="preserve">sociedad constituida al amparo de las leyes de </w:t>
      </w:r>
      <w:r>
        <w:rPr>
          <w:i/>
          <w:iCs/>
          <w:sz w:val="22"/>
          <w:szCs w:val="22"/>
          <w:lang w:val="es-ES"/>
        </w:rPr>
        <w:t xml:space="preserve">[indique el nombre del país del Proveedor] </w:t>
      </w:r>
      <w:r>
        <w:rPr>
          <w:sz w:val="22"/>
          <w:szCs w:val="22"/>
          <w:lang w:val="es-ES"/>
        </w:rPr>
        <w:t>con sede principal en </w:t>
      </w:r>
      <w:r>
        <w:rPr>
          <w:i/>
          <w:iCs/>
          <w:sz w:val="22"/>
          <w:szCs w:val="22"/>
          <w:lang w:val="es-ES"/>
        </w:rPr>
        <w:t xml:space="preserve">[indique la dirección del Proveedor] </w:t>
      </w:r>
      <w:r>
        <w:rPr>
          <w:sz w:val="22"/>
          <w:szCs w:val="22"/>
          <w:lang w:val="es-ES"/>
        </w:rPr>
        <w:t>(en adelante, el “Proveedor”).</w:t>
      </w:r>
    </w:p>
    <w:p>
      <w:pPr>
        <w:suppressAutoHyphens/>
        <w:spacing w:after="240"/>
        <w:jc w:val="both"/>
        <w:rPr>
          <w:sz w:val="22"/>
          <w:szCs w:val="22"/>
          <w:lang w:val="es-ES"/>
        </w:rPr>
      </w:pPr>
      <w:r>
        <w:rPr>
          <w:sz w:val="22"/>
          <w:szCs w:val="22"/>
          <w:lang w:val="es-ES"/>
        </w:rPr>
        <w:t xml:space="preserve">POR CUANTO el Comprador ha llamado a licitación respecto de ciertos Bienes y Servicios Conexos, a saber, </w:t>
      </w:r>
      <w:r>
        <w:rPr>
          <w:i/>
          <w:iCs/>
          <w:sz w:val="22"/>
          <w:szCs w:val="22"/>
          <w:lang w:val="es-ES"/>
        </w:rPr>
        <w:t>[indique una breve descripción de los Bienes y Servicios]</w:t>
      </w:r>
      <w:r>
        <w:rPr>
          <w:sz w:val="22"/>
          <w:szCs w:val="22"/>
          <w:lang w:val="es-ES"/>
        </w:rPr>
        <w:t xml:space="preserve">, y ha aceptado una Oferta del Proveedor para el suministro de dichos Bienes y Servicios. </w:t>
      </w:r>
    </w:p>
    <w:p>
      <w:pPr>
        <w:suppressAutoHyphens/>
        <w:spacing w:after="240"/>
        <w:jc w:val="both"/>
        <w:rPr>
          <w:sz w:val="22"/>
          <w:szCs w:val="22"/>
          <w:lang w:val="es-ES"/>
        </w:rPr>
      </w:pPr>
      <w:r>
        <w:rPr>
          <w:sz w:val="22"/>
          <w:szCs w:val="22"/>
          <w:lang w:val="es-ES"/>
        </w:rPr>
        <w:t xml:space="preserve">El Comprador y el Proveedor acuerdan lo siguiente: </w:t>
      </w:r>
    </w:p>
    <w:p>
      <w:pPr>
        <w:tabs>
          <w:tab w:val="left" w:pos="540"/>
        </w:tabs>
        <w:suppressAutoHyphens/>
        <w:spacing w:after="240"/>
        <w:ind w:left="540" w:hanging="540"/>
        <w:jc w:val="both"/>
        <w:rPr>
          <w:sz w:val="22"/>
          <w:szCs w:val="22"/>
          <w:lang w:val="es-ES"/>
        </w:rPr>
      </w:pPr>
      <w:r>
        <w:rPr>
          <w:sz w:val="22"/>
          <w:szCs w:val="22"/>
          <w:lang w:val="es-ES"/>
        </w:rPr>
        <w:t>1.</w:t>
      </w:r>
      <w:r>
        <w:rPr>
          <w:sz w:val="22"/>
          <w:szCs w:val="22"/>
          <w:lang w:val="es-ES"/>
        </w:rPr>
        <w:tab/>
        <w:t>En este Convenio Contractual las palabras y expresiones tendrán el mismo significado que se les asigne en los respectivos documentos del Contrato a que se refieran.</w:t>
      </w:r>
    </w:p>
    <w:p>
      <w:pPr>
        <w:tabs>
          <w:tab w:val="left" w:pos="540"/>
        </w:tabs>
        <w:suppressAutoHyphens/>
        <w:spacing w:after="240"/>
        <w:ind w:left="540" w:hanging="540"/>
        <w:jc w:val="both"/>
        <w:rPr>
          <w:sz w:val="22"/>
          <w:szCs w:val="22"/>
          <w:lang w:val="es-ES"/>
        </w:rPr>
      </w:pPr>
      <w:r>
        <w:rPr>
          <w:sz w:val="22"/>
          <w:szCs w:val="22"/>
          <w:lang w:val="es-ES"/>
        </w:rPr>
        <w:t>2.</w:t>
      </w:r>
      <w:r>
        <w:rPr>
          <w:sz w:val="22"/>
          <w:szCs w:val="22"/>
          <w:lang w:val="es-ES"/>
        </w:rPr>
        <w:tab/>
        <w:t>Los siguientes documentos constituyen el Contrato entre el Comprador y el Proveedor, y serán leídos e interpretados como parte integral del Contrato. Este Convenio Contractual prevalecerá sobre los demás documentos del Contrato.</w:t>
      </w:r>
    </w:p>
    <w:p>
      <w:pPr>
        <w:numPr>
          <w:ilvl w:val="0"/>
          <w:numId w:val="102"/>
        </w:numPr>
        <w:suppressAutoHyphens/>
        <w:spacing w:after="120"/>
        <w:ind w:left="1264" w:hanging="720"/>
        <w:jc w:val="both"/>
        <w:rPr>
          <w:sz w:val="22"/>
          <w:szCs w:val="22"/>
          <w:lang w:val="es-ES"/>
        </w:rPr>
      </w:pPr>
      <w:r>
        <w:rPr>
          <w:sz w:val="22"/>
          <w:szCs w:val="22"/>
          <w:lang w:val="es-ES"/>
        </w:rPr>
        <w:t xml:space="preserve">la Carta de Aceptación; </w:t>
      </w:r>
    </w:p>
    <w:p>
      <w:pPr>
        <w:numPr>
          <w:ilvl w:val="0"/>
          <w:numId w:val="102"/>
        </w:numPr>
        <w:suppressAutoHyphens/>
        <w:spacing w:after="120"/>
        <w:ind w:left="1264" w:hanging="720"/>
        <w:jc w:val="both"/>
        <w:rPr>
          <w:sz w:val="22"/>
          <w:szCs w:val="22"/>
          <w:lang w:val="es-ES"/>
        </w:rPr>
      </w:pPr>
      <w:r>
        <w:rPr>
          <w:sz w:val="22"/>
          <w:szCs w:val="22"/>
          <w:lang w:val="es-ES"/>
        </w:rPr>
        <w:t>la Carta de la Oferta;</w:t>
      </w:r>
    </w:p>
    <w:p>
      <w:pPr>
        <w:numPr>
          <w:ilvl w:val="0"/>
          <w:numId w:val="102"/>
        </w:numPr>
        <w:suppressAutoHyphens/>
        <w:spacing w:after="120"/>
        <w:ind w:left="1264" w:hanging="720"/>
        <w:jc w:val="both"/>
        <w:rPr>
          <w:sz w:val="22"/>
          <w:szCs w:val="22"/>
          <w:lang w:val="es-ES"/>
        </w:rPr>
      </w:pPr>
      <w:r>
        <w:rPr>
          <w:sz w:val="22"/>
          <w:szCs w:val="22"/>
          <w:lang w:val="es-ES"/>
        </w:rPr>
        <w:t>las enmiendas n.</w:t>
      </w:r>
      <w:r>
        <w:rPr>
          <w:sz w:val="22"/>
          <w:szCs w:val="22"/>
          <w:lang w:val="es-ES"/>
        </w:rPr>
        <w:sym w:font="Symbol" w:char="F0B0"/>
      </w:r>
      <w:r>
        <w:rPr>
          <w:sz w:val="22"/>
          <w:szCs w:val="22"/>
          <w:lang w:val="es-ES"/>
        </w:rPr>
        <w:t xml:space="preserve"> _______ (si las hubiera); </w:t>
      </w:r>
    </w:p>
    <w:p>
      <w:pPr>
        <w:numPr>
          <w:ilvl w:val="0"/>
          <w:numId w:val="102"/>
        </w:numPr>
        <w:suppressAutoHyphens/>
        <w:spacing w:after="120"/>
        <w:ind w:left="1264" w:hanging="720"/>
        <w:jc w:val="both"/>
        <w:rPr>
          <w:sz w:val="22"/>
          <w:szCs w:val="22"/>
          <w:lang w:val="es-ES"/>
        </w:rPr>
      </w:pPr>
      <w:r>
        <w:rPr>
          <w:sz w:val="22"/>
          <w:szCs w:val="22"/>
          <w:lang w:val="es-ES"/>
        </w:rPr>
        <w:t>las Condiciones Especiales del Contrato;</w:t>
      </w:r>
    </w:p>
    <w:p>
      <w:pPr>
        <w:numPr>
          <w:ilvl w:val="0"/>
          <w:numId w:val="102"/>
        </w:numPr>
        <w:suppressAutoHyphens/>
        <w:spacing w:after="120"/>
        <w:ind w:left="1264" w:hanging="720"/>
        <w:jc w:val="both"/>
        <w:rPr>
          <w:sz w:val="22"/>
          <w:szCs w:val="22"/>
          <w:lang w:val="es-ES"/>
        </w:rPr>
      </w:pPr>
      <w:r>
        <w:rPr>
          <w:sz w:val="22"/>
          <w:szCs w:val="22"/>
          <w:lang w:val="es-ES"/>
        </w:rPr>
        <w:t>las Condiciones Generales del Contrato;</w:t>
      </w:r>
    </w:p>
    <w:p>
      <w:pPr>
        <w:numPr>
          <w:ilvl w:val="0"/>
          <w:numId w:val="102"/>
        </w:numPr>
        <w:suppressAutoHyphens/>
        <w:spacing w:after="120"/>
        <w:ind w:left="1264" w:hanging="720"/>
        <w:rPr>
          <w:sz w:val="22"/>
          <w:szCs w:val="22"/>
          <w:lang w:val="es-ES"/>
        </w:rPr>
      </w:pPr>
      <w:r>
        <w:rPr>
          <w:sz w:val="22"/>
          <w:szCs w:val="22"/>
          <w:lang w:val="es-ES"/>
        </w:rPr>
        <w:t>los requerimientos técnicos (incluyendo los Requisitos de los Bienes y Servicios Conexos y las Especificaciones Técnicas);</w:t>
      </w:r>
    </w:p>
    <w:p>
      <w:pPr>
        <w:numPr>
          <w:ilvl w:val="0"/>
          <w:numId w:val="102"/>
        </w:numPr>
        <w:suppressAutoHyphens/>
        <w:spacing w:after="120"/>
        <w:ind w:left="1264" w:hanging="720"/>
        <w:jc w:val="both"/>
        <w:rPr>
          <w:sz w:val="22"/>
          <w:szCs w:val="22"/>
          <w:lang w:val="es-ES"/>
        </w:rPr>
      </w:pPr>
      <w:r>
        <w:rPr>
          <w:sz w:val="22"/>
          <w:szCs w:val="22"/>
          <w:lang w:val="es-ES"/>
        </w:rPr>
        <w:t xml:space="preserve">las listas completas (incluyendo las Listas de Precios); </w:t>
      </w:r>
    </w:p>
    <w:p>
      <w:pPr>
        <w:numPr>
          <w:ilvl w:val="0"/>
          <w:numId w:val="102"/>
        </w:numPr>
        <w:suppressAutoHyphens/>
        <w:spacing w:after="120"/>
        <w:ind w:left="1264" w:hanging="720"/>
        <w:jc w:val="both"/>
        <w:rPr>
          <w:sz w:val="22"/>
          <w:szCs w:val="22"/>
          <w:lang w:val="es-ES"/>
        </w:rPr>
      </w:pPr>
      <w:r>
        <w:rPr>
          <w:sz w:val="22"/>
          <w:szCs w:val="22"/>
          <w:lang w:val="es-ES"/>
        </w:rPr>
        <w:t xml:space="preserve">cualquier otro documento enumerado en las CGC como parte integrante del Contrato. </w:t>
      </w:r>
    </w:p>
    <w:p>
      <w:pPr>
        <w:tabs>
          <w:tab w:val="left" w:pos="540"/>
        </w:tabs>
        <w:suppressAutoHyphens/>
        <w:spacing w:after="240"/>
        <w:ind w:left="540" w:hanging="540"/>
        <w:jc w:val="both"/>
        <w:rPr>
          <w:sz w:val="22"/>
          <w:szCs w:val="22"/>
          <w:lang w:val="es-ES"/>
        </w:rPr>
      </w:pPr>
      <w:r>
        <w:rPr>
          <w:sz w:val="22"/>
          <w:szCs w:val="22"/>
          <w:lang w:val="es-ES"/>
        </w:rPr>
        <w:t>3.</w:t>
      </w:r>
      <w:r>
        <w:rPr>
          <w:sz w:val="22"/>
          <w:szCs w:val="22"/>
          <w:lang w:val="es-ES"/>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pPr>
        <w:tabs>
          <w:tab w:val="left" w:pos="540"/>
        </w:tabs>
        <w:suppressAutoHyphens/>
        <w:spacing w:after="240"/>
        <w:ind w:left="540" w:hanging="540"/>
        <w:jc w:val="both"/>
        <w:rPr>
          <w:sz w:val="22"/>
          <w:szCs w:val="22"/>
          <w:lang w:val="es-ES"/>
        </w:rPr>
      </w:pPr>
      <w:r>
        <w:rPr>
          <w:sz w:val="22"/>
          <w:szCs w:val="22"/>
          <w:lang w:val="es-ES"/>
        </w:rPr>
        <w:t>4.</w:t>
      </w:r>
      <w:r>
        <w:rPr>
          <w:sz w:val="22"/>
          <w:szCs w:val="22"/>
          <w:lang w:val="es-ES"/>
        </w:rPr>
        <w:tab/>
        <w:t xml:space="preserve">El Comprador se compromete a pagar al Proveedor, como contraprestación por el suministro de los Bienes y Servicios Conexos y la subsanación de sus defectos, el Precio del Contrato o las </w:t>
      </w:r>
      <w:r>
        <w:rPr>
          <w:sz w:val="22"/>
          <w:szCs w:val="22"/>
          <w:lang w:val="es-ES"/>
        </w:rPr>
        <w:lastRenderedPageBreak/>
        <w:t>sumas que resulten pagaderas de conformidad con lo dispuesto en el Contrato en el plazo y en la forma prescriptos en este.</w:t>
      </w:r>
    </w:p>
    <w:p>
      <w:pPr>
        <w:spacing w:after="200"/>
        <w:rPr>
          <w:sz w:val="22"/>
          <w:szCs w:val="22"/>
          <w:lang w:val="es-ES"/>
        </w:rPr>
      </w:pPr>
      <w:r>
        <w:rPr>
          <w:sz w:val="22"/>
          <w:szCs w:val="22"/>
          <w:lang w:val="es-ES"/>
        </w:rPr>
        <w:t xml:space="preserve">EN PRUEBA DE CONFORMIDAD, las Partes han suscripto el presente Convenio Contractual, de conformidad con el derecho vigente de </w:t>
      </w:r>
      <w:r>
        <w:rPr>
          <w:i/>
          <w:iCs/>
          <w:sz w:val="22"/>
          <w:szCs w:val="22"/>
          <w:lang w:val="es-ES"/>
        </w:rPr>
        <w:t>[indique el nombre de la ley del país que gobierna el Contrato]</w:t>
      </w:r>
      <w:r>
        <w:rPr>
          <w:sz w:val="22"/>
          <w:szCs w:val="22"/>
          <w:lang w:val="es-ES"/>
        </w:rPr>
        <w:t xml:space="preserve"> en el día, mes y año antes indicados.</w:t>
      </w:r>
    </w:p>
    <w:p>
      <w:pPr>
        <w:rPr>
          <w:sz w:val="22"/>
          <w:szCs w:val="22"/>
          <w:lang w:val="es-ES"/>
        </w:rPr>
      </w:pPr>
    </w:p>
    <w:p>
      <w:pPr>
        <w:rPr>
          <w:sz w:val="22"/>
          <w:szCs w:val="22"/>
          <w:lang w:val="es-ES"/>
        </w:rPr>
      </w:pPr>
      <w:r>
        <w:rPr>
          <w:sz w:val="22"/>
          <w:szCs w:val="22"/>
          <w:lang w:val="es-ES"/>
        </w:rPr>
        <w:t>En representación del Comprador</w:t>
      </w:r>
    </w:p>
    <w:p>
      <w:pPr>
        <w:rPr>
          <w:sz w:val="22"/>
          <w:szCs w:val="22"/>
          <w:lang w:val="es-ES"/>
        </w:rPr>
      </w:pPr>
    </w:p>
    <w:p>
      <w:pPr>
        <w:tabs>
          <w:tab w:val="left" w:pos="900"/>
          <w:tab w:val="left" w:pos="7200"/>
        </w:tabs>
        <w:rPr>
          <w:sz w:val="22"/>
          <w:szCs w:val="22"/>
          <w:lang w:val="es-ES"/>
        </w:rPr>
      </w:pPr>
      <w:r>
        <w:rPr>
          <w:sz w:val="22"/>
          <w:szCs w:val="22"/>
          <w:lang w:val="es-ES"/>
        </w:rPr>
        <w:t xml:space="preserve">Firma: </w:t>
      </w:r>
      <w:r>
        <w:rPr>
          <w:i/>
          <w:iCs/>
          <w:sz w:val="22"/>
          <w:szCs w:val="22"/>
          <w:lang w:val="es-ES"/>
        </w:rPr>
        <w:t>[firma]</w:t>
      </w:r>
    </w:p>
    <w:p>
      <w:pPr>
        <w:tabs>
          <w:tab w:val="left" w:pos="900"/>
          <w:tab w:val="left" w:pos="7200"/>
        </w:tabs>
        <w:rPr>
          <w:sz w:val="22"/>
          <w:szCs w:val="22"/>
          <w:u w:val="single"/>
          <w:lang w:val="es-ES"/>
        </w:rPr>
      </w:pPr>
      <w:r>
        <w:rPr>
          <w:sz w:val="22"/>
          <w:szCs w:val="22"/>
          <w:lang w:val="es-ES"/>
        </w:rPr>
        <w:t xml:space="preserve">en calidad de </w:t>
      </w:r>
      <w:r>
        <w:rPr>
          <w:i/>
          <w:iCs/>
          <w:sz w:val="22"/>
          <w:szCs w:val="22"/>
          <w:lang w:val="es-ES"/>
        </w:rPr>
        <w:t>[indique el cargo u otra designación apropiada]</w:t>
      </w:r>
    </w:p>
    <w:p>
      <w:pPr>
        <w:tabs>
          <w:tab w:val="left" w:pos="7200"/>
        </w:tabs>
        <w:rPr>
          <w:sz w:val="22"/>
          <w:szCs w:val="22"/>
          <w:u w:val="single"/>
          <w:lang w:val="es-ES"/>
        </w:rPr>
      </w:pPr>
      <w:r>
        <w:rPr>
          <w:sz w:val="22"/>
          <w:szCs w:val="22"/>
          <w:lang w:val="es-ES"/>
        </w:rPr>
        <w:t xml:space="preserve">en presencia de </w:t>
      </w:r>
      <w:r>
        <w:rPr>
          <w:i/>
          <w:iCs/>
          <w:sz w:val="22"/>
          <w:szCs w:val="22"/>
          <w:lang w:val="es-ES"/>
        </w:rPr>
        <w:t>[indique la identificación del testigo]</w:t>
      </w:r>
    </w:p>
    <w:p>
      <w:pPr>
        <w:rPr>
          <w:sz w:val="22"/>
          <w:szCs w:val="22"/>
          <w:lang w:val="es-ES"/>
        </w:rPr>
      </w:pPr>
    </w:p>
    <w:p>
      <w:pPr>
        <w:rPr>
          <w:sz w:val="22"/>
          <w:szCs w:val="22"/>
          <w:lang w:val="es-ES"/>
        </w:rPr>
      </w:pPr>
      <w:r>
        <w:rPr>
          <w:sz w:val="22"/>
          <w:szCs w:val="22"/>
          <w:lang w:val="es-ES"/>
        </w:rPr>
        <w:t>En representación del Proveedor</w:t>
      </w:r>
    </w:p>
    <w:p>
      <w:pPr>
        <w:rPr>
          <w:sz w:val="22"/>
          <w:szCs w:val="22"/>
          <w:lang w:val="es-ES"/>
        </w:rPr>
      </w:pPr>
    </w:p>
    <w:p>
      <w:pPr>
        <w:tabs>
          <w:tab w:val="left" w:pos="900"/>
          <w:tab w:val="left" w:pos="7200"/>
        </w:tabs>
        <w:rPr>
          <w:sz w:val="22"/>
          <w:szCs w:val="22"/>
          <w:u w:val="single"/>
          <w:lang w:val="es-ES"/>
        </w:rPr>
      </w:pPr>
      <w:r>
        <w:rPr>
          <w:sz w:val="22"/>
          <w:szCs w:val="22"/>
          <w:lang w:val="es-ES"/>
        </w:rPr>
        <w:t xml:space="preserve">Firma: </w:t>
      </w:r>
      <w:r>
        <w:rPr>
          <w:i/>
          <w:iCs/>
          <w:sz w:val="22"/>
          <w:szCs w:val="22"/>
          <w:lang w:val="es-ES"/>
        </w:rPr>
        <w:t>[firmas de los representantes autorizados del Proveedor]</w:t>
      </w:r>
    </w:p>
    <w:p>
      <w:pPr>
        <w:tabs>
          <w:tab w:val="left" w:pos="900"/>
          <w:tab w:val="left" w:pos="7200"/>
        </w:tabs>
        <w:rPr>
          <w:sz w:val="22"/>
          <w:szCs w:val="22"/>
          <w:u w:val="single"/>
          <w:lang w:val="es-ES"/>
        </w:rPr>
      </w:pPr>
      <w:r>
        <w:rPr>
          <w:sz w:val="22"/>
          <w:szCs w:val="22"/>
          <w:lang w:val="es-ES"/>
        </w:rPr>
        <w:t xml:space="preserve">en calidad de </w:t>
      </w:r>
      <w:r>
        <w:rPr>
          <w:i/>
          <w:iCs/>
          <w:sz w:val="22"/>
          <w:szCs w:val="22"/>
          <w:lang w:val="es-ES"/>
        </w:rPr>
        <w:t>[indique el cargo u otra designación apropiada]</w:t>
      </w:r>
    </w:p>
    <w:p>
      <w:pPr>
        <w:tabs>
          <w:tab w:val="left" w:pos="900"/>
        </w:tabs>
        <w:rPr>
          <w:sz w:val="22"/>
          <w:szCs w:val="22"/>
          <w:u w:val="single"/>
          <w:lang w:val="es-ES"/>
        </w:rPr>
      </w:pPr>
      <w:r>
        <w:rPr>
          <w:sz w:val="22"/>
          <w:szCs w:val="22"/>
          <w:lang w:val="es-ES"/>
        </w:rPr>
        <w:t xml:space="preserve">en presencia de </w:t>
      </w:r>
      <w:r>
        <w:rPr>
          <w:i/>
          <w:iCs/>
          <w:sz w:val="22"/>
          <w:szCs w:val="22"/>
          <w:lang w:val="es-ES"/>
        </w:rPr>
        <w:t>[indique la identificación del testigo]</w:t>
      </w:r>
    </w:p>
    <w:p>
      <w:pPr>
        <w:pStyle w:val="Head02"/>
        <w:rPr>
          <w:rFonts w:ascii="Times New Roman" w:hAnsi="Times New Roman" w:cs="Times New Roman"/>
          <w:sz w:val="22"/>
          <w:szCs w:val="22"/>
          <w:lang w:val="es-ES"/>
        </w:rPr>
      </w:pPr>
      <w:bookmarkStart w:id="832" w:name="_Toc365535445"/>
      <w:bookmarkEnd w:id="817"/>
      <w:bookmarkEnd w:id="818"/>
    </w:p>
    <w:p>
      <w:pPr>
        <w:rPr>
          <w:b/>
          <w:smallCaps/>
          <w:sz w:val="22"/>
          <w:szCs w:val="22"/>
          <w:lang w:val="es-ES"/>
        </w:rPr>
      </w:pPr>
      <w:r>
        <w:rPr>
          <w:sz w:val="22"/>
          <w:szCs w:val="22"/>
          <w:lang w:val="es-ES"/>
        </w:rPr>
        <w:br w:type="page"/>
      </w:r>
    </w:p>
    <w:p>
      <w:pPr>
        <w:pStyle w:val="FormCGC"/>
        <w:rPr>
          <w:rFonts w:ascii="Times New Roman" w:hAnsi="Times New Roman" w:cs="Times New Roman"/>
        </w:rPr>
      </w:pPr>
      <w:bookmarkStart w:id="833" w:name="_Toc175253484"/>
      <w:bookmarkStart w:id="834" w:name="_Toc442524980"/>
      <w:bookmarkStart w:id="835" w:name="_Toc428352207"/>
      <w:bookmarkStart w:id="836" w:name="_Toc438907198"/>
      <w:bookmarkStart w:id="837" w:name="_Toc438907298"/>
      <w:bookmarkEnd w:id="750"/>
      <w:bookmarkEnd w:id="751"/>
      <w:bookmarkEnd w:id="752"/>
      <w:bookmarkEnd w:id="810"/>
      <w:bookmarkEnd w:id="832"/>
      <w:r>
        <w:rPr>
          <w:rFonts w:ascii="Times New Roman" w:hAnsi="Times New Roman" w:cs="Times New Roman"/>
        </w:rPr>
        <w:lastRenderedPageBreak/>
        <w:t>Garantía de Cumplimiento</w:t>
      </w:r>
      <w:bookmarkEnd w:id="833"/>
    </w:p>
    <w:p>
      <w:pPr>
        <w:jc w:val="center"/>
        <w:rPr>
          <w:b/>
          <w:bCs/>
          <w:iCs/>
          <w:sz w:val="28"/>
          <w:szCs w:val="28"/>
          <w:lang w:val="es-ES"/>
        </w:rPr>
      </w:pPr>
      <w:bookmarkStart w:id="838" w:name="_Toc365535459"/>
      <w:bookmarkEnd w:id="834"/>
      <w:bookmarkEnd w:id="835"/>
      <w:bookmarkEnd w:id="836"/>
      <w:bookmarkEnd w:id="837"/>
    </w:p>
    <w:p>
      <w:pPr>
        <w:jc w:val="center"/>
        <w:rPr>
          <w:rFonts w:eastAsia="Arial Unicode MS"/>
          <w:b/>
          <w:bCs/>
          <w:iCs/>
          <w:sz w:val="22"/>
          <w:szCs w:val="22"/>
          <w:lang w:val="es-ES"/>
        </w:rPr>
      </w:pPr>
      <w:r>
        <w:rPr>
          <w:b/>
          <w:bCs/>
          <w:iCs/>
          <w:sz w:val="22"/>
          <w:szCs w:val="22"/>
          <w:lang w:val="es-ES"/>
        </w:rPr>
        <w:t xml:space="preserve">Opción 1: (Garantía a la Vista) </w:t>
      </w:r>
    </w:p>
    <w:p>
      <w:pPr>
        <w:jc w:val="center"/>
        <w:rPr>
          <w:b/>
          <w:sz w:val="22"/>
          <w:szCs w:val="22"/>
          <w:lang w:val="es-ES"/>
        </w:rPr>
      </w:pPr>
      <w:r>
        <w:rPr>
          <w:b/>
          <w:sz w:val="22"/>
          <w:szCs w:val="22"/>
          <w:lang w:val="es-ES"/>
        </w:rPr>
        <w:t>NO APLICA</w:t>
      </w:r>
    </w:p>
    <w:p>
      <w:pPr>
        <w:pStyle w:val="Piedepgina"/>
        <w:tabs>
          <w:tab w:val="clear" w:pos="9504"/>
        </w:tabs>
        <w:spacing w:before="0"/>
        <w:rPr>
          <w:rFonts w:ascii="Times New Roman" w:hAnsi="Times New Roman"/>
          <w:i/>
          <w:iCs/>
          <w:sz w:val="22"/>
          <w:szCs w:val="22"/>
          <w:lang w:val="es-ES"/>
        </w:rPr>
      </w:pPr>
      <w:r>
        <w:rPr>
          <w:rFonts w:ascii="Times New Roman" w:hAnsi="Times New Roman"/>
          <w:i/>
          <w:iCs/>
          <w:sz w:val="22"/>
          <w:szCs w:val="22"/>
          <w:lang w:val="es-ES"/>
        </w:rPr>
        <w:t>[El banco, a solicitud del Licitante seleccionado, completará este formulario de acuerdo con las instrucciones indicadas].</w:t>
      </w:r>
    </w:p>
    <w:p>
      <w:pPr>
        <w:pStyle w:val="Piedepgina"/>
        <w:tabs>
          <w:tab w:val="clear" w:pos="9504"/>
        </w:tabs>
        <w:spacing w:before="0"/>
        <w:rPr>
          <w:rFonts w:ascii="Times New Roman" w:hAnsi="Times New Roman"/>
          <w:i/>
          <w:iCs/>
          <w:sz w:val="22"/>
          <w:szCs w:val="22"/>
          <w:lang w:val="es-ES"/>
        </w:rPr>
      </w:pPr>
    </w:p>
    <w:p>
      <w:pPr>
        <w:pStyle w:val="Piedepgina"/>
        <w:tabs>
          <w:tab w:val="clear" w:pos="9504"/>
        </w:tabs>
        <w:spacing w:before="0"/>
        <w:rPr>
          <w:rFonts w:ascii="Times New Roman" w:hAnsi="Times New Roman"/>
          <w:i/>
          <w:sz w:val="22"/>
          <w:szCs w:val="22"/>
          <w:lang w:val="es-ES"/>
        </w:rPr>
      </w:pPr>
      <w:r>
        <w:rPr>
          <w:rFonts w:ascii="Times New Roman" w:hAnsi="Times New Roman"/>
          <w:i/>
          <w:iCs/>
          <w:sz w:val="22"/>
          <w:szCs w:val="22"/>
          <w:lang w:val="es-ES"/>
        </w:rPr>
        <w:t>[Membrete del Garante o código de identificación SWIFT].</w:t>
      </w:r>
    </w:p>
    <w:p>
      <w:pPr>
        <w:pStyle w:val="NormalWeb"/>
        <w:rPr>
          <w:rFonts w:ascii="Times New Roman" w:hAnsi="Times New Roman"/>
          <w:i/>
          <w:sz w:val="22"/>
          <w:szCs w:val="22"/>
          <w:lang w:val="es-ES"/>
        </w:rPr>
      </w:pPr>
      <w:r>
        <w:rPr>
          <w:rFonts w:ascii="Times New Roman" w:hAnsi="Times New Roman"/>
          <w:b/>
          <w:bCs/>
          <w:sz w:val="22"/>
          <w:szCs w:val="22"/>
          <w:lang w:val="es-ES"/>
        </w:rPr>
        <w:t xml:space="preserve">Beneficiario: </w:t>
      </w:r>
      <w:r>
        <w:rPr>
          <w:rFonts w:ascii="Times New Roman" w:hAnsi="Times New Roman"/>
          <w:i/>
          <w:iCs/>
          <w:sz w:val="22"/>
          <w:szCs w:val="22"/>
          <w:lang w:val="es-ES"/>
        </w:rPr>
        <w:t>[Indique el nombre y la dirección del Comprador].</w:t>
      </w:r>
    </w:p>
    <w:p>
      <w:pPr>
        <w:pStyle w:val="NormalWeb"/>
        <w:rPr>
          <w:rFonts w:ascii="Times New Roman" w:hAnsi="Times New Roman"/>
          <w:sz w:val="22"/>
          <w:szCs w:val="22"/>
          <w:lang w:val="es-ES"/>
        </w:rPr>
      </w:pPr>
      <w:r>
        <w:rPr>
          <w:rFonts w:ascii="Times New Roman" w:hAnsi="Times New Roman"/>
          <w:b/>
          <w:bCs/>
          <w:sz w:val="22"/>
          <w:szCs w:val="22"/>
          <w:lang w:val="es-ES"/>
        </w:rPr>
        <w:t>Fecha:</w:t>
      </w:r>
      <w:r>
        <w:rPr>
          <w:rFonts w:ascii="Times New Roman" w:hAnsi="Times New Roman"/>
          <w:sz w:val="22"/>
          <w:szCs w:val="22"/>
          <w:lang w:val="es-ES"/>
        </w:rPr>
        <w:t xml:space="preserve"> </w:t>
      </w:r>
      <w:r>
        <w:rPr>
          <w:rFonts w:ascii="Times New Roman" w:hAnsi="Times New Roman"/>
          <w:i/>
          <w:iCs/>
          <w:sz w:val="22"/>
          <w:szCs w:val="22"/>
          <w:lang w:val="es-ES"/>
        </w:rPr>
        <w:t>[Indique la fecha de la emisión].</w:t>
      </w:r>
    </w:p>
    <w:p>
      <w:pPr>
        <w:pStyle w:val="NormalWeb"/>
        <w:rPr>
          <w:rFonts w:ascii="Times New Roman" w:hAnsi="Times New Roman"/>
          <w:sz w:val="22"/>
          <w:szCs w:val="22"/>
          <w:lang w:val="es-ES"/>
        </w:rPr>
      </w:pPr>
      <w:r>
        <w:rPr>
          <w:rFonts w:ascii="Times New Roman" w:hAnsi="Times New Roman"/>
          <w:b/>
          <w:bCs/>
          <w:sz w:val="22"/>
          <w:szCs w:val="22"/>
          <w:lang w:val="es-ES"/>
        </w:rPr>
        <w:t>GARANTÍA DE CUMPLIMIENTO N.</w:t>
      </w:r>
      <w:r>
        <w:rPr>
          <w:rFonts w:ascii="Times New Roman" w:hAnsi="Times New Roman"/>
          <w:b/>
          <w:bCs/>
          <w:sz w:val="22"/>
          <w:szCs w:val="22"/>
          <w:lang w:val="es-ES"/>
        </w:rPr>
        <w:sym w:font="Symbol" w:char="F0B0"/>
      </w:r>
      <w:r>
        <w:rPr>
          <w:rFonts w:ascii="Times New Roman" w:hAnsi="Times New Roman"/>
          <w:b/>
          <w:bCs/>
          <w:sz w:val="22"/>
          <w:szCs w:val="22"/>
          <w:lang w:val="es-ES"/>
        </w:rPr>
        <w:t>:</w:t>
      </w:r>
      <w:r>
        <w:rPr>
          <w:rFonts w:ascii="Times New Roman" w:hAnsi="Times New Roman"/>
          <w:sz w:val="22"/>
          <w:szCs w:val="22"/>
          <w:lang w:val="es-ES"/>
        </w:rPr>
        <w:t xml:space="preserve"> </w:t>
      </w:r>
      <w:r>
        <w:rPr>
          <w:rFonts w:ascii="Times New Roman" w:hAnsi="Times New Roman"/>
          <w:i/>
          <w:iCs/>
          <w:sz w:val="22"/>
          <w:szCs w:val="22"/>
          <w:lang w:val="es-ES"/>
        </w:rPr>
        <w:t>[Indique número de referencia de la Garantía].</w:t>
      </w:r>
    </w:p>
    <w:p>
      <w:pPr>
        <w:pStyle w:val="NormalWeb"/>
        <w:rPr>
          <w:rFonts w:ascii="Times New Roman" w:hAnsi="Times New Roman"/>
          <w:sz w:val="22"/>
          <w:szCs w:val="22"/>
          <w:lang w:val="es-ES"/>
        </w:rPr>
      </w:pPr>
      <w:r>
        <w:rPr>
          <w:rFonts w:ascii="Times New Roman" w:hAnsi="Times New Roman"/>
          <w:b/>
          <w:bCs/>
          <w:sz w:val="22"/>
          <w:szCs w:val="22"/>
          <w:lang w:val="es-ES"/>
        </w:rPr>
        <w:t xml:space="preserve">Garante: </w:t>
      </w:r>
      <w:r>
        <w:rPr>
          <w:rFonts w:ascii="Times New Roman" w:hAnsi="Times New Roman"/>
          <w:i/>
          <w:iCs/>
          <w:sz w:val="22"/>
          <w:szCs w:val="22"/>
          <w:lang w:val="es-ES"/>
        </w:rPr>
        <w:t>[Indique el nombre y la dirección del emisor de la garantía, a menos que esté indicado en el membrete].</w:t>
      </w:r>
    </w:p>
    <w:p>
      <w:pPr>
        <w:pStyle w:val="NormalWeb"/>
        <w:jc w:val="both"/>
        <w:rPr>
          <w:rFonts w:ascii="Times New Roman" w:hAnsi="Times New Roman"/>
          <w:sz w:val="22"/>
          <w:szCs w:val="22"/>
          <w:lang w:val="es-ES"/>
        </w:rPr>
      </w:pPr>
      <w:r>
        <w:rPr>
          <w:rFonts w:ascii="Times New Roman" w:hAnsi="Times New Roman"/>
          <w:sz w:val="22"/>
          <w:szCs w:val="22"/>
          <w:lang w:val="es-ES"/>
        </w:rPr>
        <w:t xml:space="preserve">Se nos ha informado que </w:t>
      </w:r>
      <w:r>
        <w:rPr>
          <w:rFonts w:ascii="Times New Roman" w:hAnsi="Times New Roman"/>
          <w:i/>
          <w:iCs/>
          <w:sz w:val="22"/>
          <w:szCs w:val="22"/>
          <w:lang w:val="es-ES"/>
        </w:rPr>
        <w:t xml:space="preserve">[indique el nombre del Proveedor, que, en el caso de APCA, será el de la APCA] </w:t>
      </w:r>
      <w:r>
        <w:rPr>
          <w:rFonts w:ascii="Times New Roman" w:hAnsi="Times New Roman"/>
          <w:sz w:val="22"/>
          <w:szCs w:val="22"/>
          <w:lang w:val="es-ES"/>
        </w:rPr>
        <w:t>(en adelante, el “Solicitante”) ha celebrado el Contrato n.</w:t>
      </w:r>
      <w:r>
        <w:rPr>
          <w:rFonts w:ascii="Times New Roman" w:hAnsi="Times New Roman"/>
          <w:sz w:val="22"/>
          <w:szCs w:val="22"/>
          <w:lang w:val="es-ES"/>
        </w:rPr>
        <w:sym w:font="Symbol" w:char="F0B0"/>
      </w:r>
      <w:r>
        <w:rPr>
          <w:rFonts w:ascii="Times New Roman" w:hAnsi="Times New Roman"/>
          <w:sz w:val="22"/>
          <w:szCs w:val="22"/>
          <w:vertAlign w:val="superscript"/>
          <w:lang w:val="es-ES"/>
        </w:rPr>
        <w:t xml:space="preserve"> </w:t>
      </w:r>
      <w:r>
        <w:rPr>
          <w:rFonts w:ascii="Times New Roman" w:hAnsi="Times New Roman"/>
          <w:i/>
          <w:iCs/>
          <w:sz w:val="22"/>
          <w:szCs w:val="22"/>
          <w:lang w:val="es-ES"/>
        </w:rPr>
        <w:t>[indique número de referencia del Contrato]</w:t>
      </w:r>
      <w:r>
        <w:rPr>
          <w:rFonts w:ascii="Times New Roman" w:hAnsi="Times New Roman"/>
          <w:sz w:val="22"/>
          <w:szCs w:val="22"/>
          <w:lang w:val="es-ES"/>
        </w:rPr>
        <w:t xml:space="preserve">, de fecha </w:t>
      </w:r>
      <w:r>
        <w:rPr>
          <w:rFonts w:ascii="Times New Roman" w:hAnsi="Times New Roman"/>
          <w:i/>
          <w:iCs/>
          <w:sz w:val="22"/>
          <w:szCs w:val="22"/>
          <w:lang w:val="es-ES"/>
        </w:rPr>
        <w:t>[indique fecha]</w:t>
      </w:r>
      <w:r>
        <w:rPr>
          <w:rFonts w:ascii="Times New Roman" w:hAnsi="Times New Roman"/>
          <w:sz w:val="22"/>
          <w:szCs w:val="22"/>
          <w:lang w:val="es-ES"/>
        </w:rPr>
        <w:t xml:space="preserve">, con el Beneficiario, para el suministro de </w:t>
      </w:r>
      <w:r>
        <w:rPr>
          <w:rFonts w:ascii="Times New Roman" w:hAnsi="Times New Roman"/>
          <w:i/>
          <w:iCs/>
          <w:sz w:val="22"/>
          <w:szCs w:val="22"/>
          <w:lang w:val="es-ES"/>
        </w:rPr>
        <w:t xml:space="preserve">[indique nombre del contrato y breve descripción de los Bienes y Servicios Conexos] </w:t>
      </w:r>
      <w:r>
        <w:rPr>
          <w:rFonts w:ascii="Times New Roman" w:hAnsi="Times New Roman"/>
          <w:sz w:val="22"/>
          <w:szCs w:val="22"/>
          <w:lang w:val="es-ES"/>
        </w:rPr>
        <w:t xml:space="preserve">(en adelante, el “Contrato”). </w:t>
      </w:r>
    </w:p>
    <w:p>
      <w:pPr>
        <w:pStyle w:val="NormalWeb"/>
        <w:jc w:val="both"/>
        <w:rPr>
          <w:rFonts w:ascii="Times New Roman" w:hAnsi="Times New Roman"/>
          <w:sz w:val="22"/>
          <w:szCs w:val="22"/>
          <w:lang w:val="es-ES"/>
        </w:rPr>
      </w:pPr>
      <w:r>
        <w:rPr>
          <w:rFonts w:ascii="Times New Roman" w:hAnsi="Times New Roman"/>
          <w:sz w:val="22"/>
          <w:szCs w:val="22"/>
          <w:lang w:val="es-ES"/>
        </w:rPr>
        <w:t>Además, entendemos que, de acuerdo con las condiciones del Contrato, se requiere una Garantía de Cumplimiento.</w:t>
      </w:r>
    </w:p>
    <w:p>
      <w:pPr>
        <w:pStyle w:val="NormalWeb"/>
        <w:jc w:val="both"/>
        <w:rPr>
          <w:rFonts w:ascii="Times New Roman" w:hAnsi="Times New Roman"/>
          <w:sz w:val="22"/>
          <w:szCs w:val="22"/>
          <w:lang w:val="es-ES"/>
        </w:rPr>
      </w:pPr>
      <w:r>
        <w:rPr>
          <w:rFonts w:ascii="Times New Roman" w:hAnsi="Times New Roman"/>
          <w:sz w:val="22"/>
          <w:szCs w:val="22"/>
          <w:lang w:val="es-ES"/>
        </w:rPr>
        <w:t xml:space="preserve">A solicitud del Solicitante, nosotros, en calidad de Garantes, por medio de la presente Garantía nos obligamos irrevocablemente a pagar al Beneficiario una suma (o sumas) que no exceda </w:t>
      </w:r>
      <w:r>
        <w:rPr>
          <w:rFonts w:ascii="Times New Roman" w:hAnsi="Times New Roman"/>
          <w:i/>
          <w:iCs/>
          <w:sz w:val="22"/>
          <w:szCs w:val="22"/>
          <w:lang w:val="es-ES"/>
        </w:rPr>
        <w:t>[indique la(s) suma(s) en cifras y en letras]</w:t>
      </w:r>
      <w:r>
        <w:rPr>
          <w:rFonts w:ascii="Times New Roman" w:hAnsi="Times New Roman"/>
          <w:sz w:val="22"/>
          <w:szCs w:val="22"/>
          <w:lang w:val="es-ES"/>
        </w:rPr>
        <w:t xml:space="preserve"> (</w:t>
      </w:r>
      <w:r>
        <w:rPr>
          <w:rFonts w:ascii="Times New Roman" w:hAnsi="Times New Roman"/>
          <w:sz w:val="22"/>
          <w:szCs w:val="22"/>
          <w:u w:val="single"/>
          <w:lang w:val="es-ES"/>
        </w:rPr>
        <w:t xml:space="preserve">          </w:t>
      </w:r>
      <w:r>
        <w:rPr>
          <w:rFonts w:ascii="Times New Roman" w:hAnsi="Times New Roman"/>
          <w:sz w:val="22"/>
          <w:szCs w:val="22"/>
          <w:lang w:val="es-ES"/>
        </w:rPr>
        <w:t>)</w:t>
      </w:r>
      <w:r>
        <w:rPr>
          <w:rStyle w:val="Refdenotaalpie"/>
          <w:rFonts w:ascii="Times New Roman" w:hAnsi="Times New Roman"/>
          <w:sz w:val="22"/>
          <w:szCs w:val="22"/>
          <w:lang w:val="es-ES"/>
        </w:rPr>
        <w:t>1</w:t>
      </w:r>
      <w:r>
        <w:rPr>
          <w:rFonts w:ascii="Times New Roman" w:hAnsi="Times New Roman"/>
          <w:sz w:val="22"/>
          <w:szCs w:val="22"/>
          <w:lang w:val="es-ES"/>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pPr>
        <w:pStyle w:val="NormalWeb"/>
        <w:jc w:val="both"/>
        <w:rPr>
          <w:rFonts w:ascii="Times New Roman" w:hAnsi="Times New Roman"/>
          <w:sz w:val="22"/>
          <w:szCs w:val="22"/>
          <w:lang w:val="es-ES"/>
        </w:rPr>
      </w:pPr>
      <w:r>
        <w:rPr>
          <w:rFonts w:ascii="Times New Roman" w:hAnsi="Times New Roman"/>
          <w:sz w:val="22"/>
          <w:szCs w:val="22"/>
          <w:lang w:val="es-ES"/>
        </w:rPr>
        <w:footnoteReference w:customMarkFollows="1" w:id="14"/>
        <w:t xml:space="preserve">Esta garantía vencerá a más tardar el día </w:t>
      </w:r>
      <w:r>
        <w:rPr>
          <w:rFonts w:ascii="Times New Roman" w:hAnsi="Times New Roman"/>
          <w:i/>
          <w:sz w:val="22"/>
          <w:szCs w:val="22"/>
          <w:lang w:val="es-ES"/>
        </w:rPr>
        <w:t>[indique el número]</w:t>
      </w:r>
      <w:r>
        <w:rPr>
          <w:rFonts w:ascii="Times New Roman" w:hAnsi="Times New Roman"/>
          <w:sz w:val="22"/>
          <w:szCs w:val="22"/>
          <w:lang w:val="es-ES"/>
        </w:rPr>
        <w:t xml:space="preserve"> de </w:t>
      </w:r>
      <w:r>
        <w:rPr>
          <w:rFonts w:ascii="Times New Roman" w:hAnsi="Times New Roman"/>
          <w:i/>
          <w:sz w:val="22"/>
          <w:szCs w:val="22"/>
          <w:lang w:val="es-ES"/>
        </w:rPr>
        <w:t>[indique el mes]</w:t>
      </w:r>
      <w:r>
        <w:rPr>
          <w:rFonts w:ascii="Times New Roman" w:hAnsi="Times New Roman"/>
          <w:sz w:val="22"/>
          <w:szCs w:val="22"/>
          <w:lang w:val="es-ES"/>
        </w:rPr>
        <w:t xml:space="preserve"> de </w:t>
      </w:r>
      <w:r>
        <w:rPr>
          <w:rFonts w:ascii="Times New Roman" w:hAnsi="Times New Roman"/>
          <w:i/>
          <w:sz w:val="22"/>
          <w:szCs w:val="22"/>
          <w:lang w:val="es-ES"/>
        </w:rPr>
        <w:t>[indique el año]</w:t>
      </w:r>
      <w:r>
        <w:rPr>
          <w:rStyle w:val="Refdenotaalpie"/>
          <w:rFonts w:ascii="Times New Roman" w:hAnsi="Times New Roman"/>
          <w:sz w:val="22"/>
          <w:szCs w:val="22"/>
          <w:lang w:val="es-ES"/>
        </w:rPr>
        <w:t>2</w:t>
      </w:r>
      <w:r>
        <w:rPr>
          <w:rFonts w:ascii="Times New Roman" w:hAnsi="Times New Roman"/>
          <w:sz w:val="22"/>
          <w:szCs w:val="22"/>
          <w:lang w:val="es-ES"/>
        </w:rPr>
        <w:t xml:space="preserve">, y cualquier reclamación de pago al amparo de ella deberá ser recibida por nosotros en la oficina mencionada arriba a más tardar en esa fecha. </w:t>
      </w:r>
    </w:p>
    <w:p>
      <w:pPr>
        <w:pStyle w:val="NormalWeb"/>
        <w:jc w:val="both"/>
        <w:rPr>
          <w:rFonts w:ascii="Times New Roman" w:hAnsi="Times New Roman"/>
          <w:sz w:val="22"/>
          <w:szCs w:val="22"/>
          <w:lang w:val="es-ES"/>
        </w:rPr>
      </w:pPr>
      <w:r>
        <w:rPr>
          <w:rFonts w:ascii="Times New Roman" w:hAnsi="Times New Roman"/>
          <w:sz w:val="22"/>
          <w:szCs w:val="22"/>
          <w:lang w:val="es-ES"/>
        </w:rPr>
        <w:footnoteReference w:customMarkFollows="1" w:id="15"/>
        <w:t>Esta garantía está sujeta a las Reglas Uniformes de la Cámara de Comercio Internacional (CCI) relativas a las garantías contra primera solicitud, revisión de 2010, publicación n.</w:t>
      </w:r>
      <w:r>
        <w:rPr>
          <w:rFonts w:ascii="Times New Roman" w:hAnsi="Times New Roman"/>
          <w:sz w:val="22"/>
          <w:szCs w:val="22"/>
          <w:lang w:val="es-ES"/>
        </w:rPr>
        <w:sym w:font="Symbol" w:char="F0B0"/>
      </w:r>
      <w:r>
        <w:rPr>
          <w:rFonts w:ascii="Times New Roman" w:hAnsi="Times New Roman"/>
          <w:sz w:val="22"/>
          <w:szCs w:val="22"/>
          <w:lang w:val="es-ES"/>
        </w:rPr>
        <w:t> 758 de la CCI; queda excluida de la presente la declaración de respaldo del inciso (a) del artículo 15 de dichas reglas.</w:t>
      </w:r>
    </w:p>
    <w:p>
      <w:pPr>
        <w:pStyle w:val="NormalWeb"/>
        <w:jc w:val="both"/>
        <w:rPr>
          <w:rFonts w:ascii="Times New Roman" w:hAnsi="Times New Roman"/>
          <w:sz w:val="22"/>
          <w:szCs w:val="22"/>
          <w:lang w:val="es-ES"/>
        </w:rPr>
      </w:pPr>
    </w:p>
    <w:p>
      <w:pPr>
        <w:jc w:val="center"/>
        <w:rPr>
          <w:sz w:val="22"/>
          <w:szCs w:val="22"/>
          <w:lang w:val="es-ES"/>
        </w:rPr>
      </w:pPr>
      <w:r>
        <w:rPr>
          <w:sz w:val="22"/>
          <w:szCs w:val="22"/>
          <w:lang w:val="es-ES"/>
        </w:rPr>
        <w:lastRenderedPageBreak/>
        <w:t xml:space="preserve">_____________________ </w:t>
      </w:r>
      <w:r>
        <w:rPr>
          <w:sz w:val="22"/>
          <w:szCs w:val="22"/>
          <w:lang w:val="es-ES"/>
        </w:rPr>
        <w:br/>
      </w:r>
      <w:r>
        <w:rPr>
          <w:i/>
          <w:iCs/>
          <w:sz w:val="22"/>
          <w:szCs w:val="22"/>
          <w:lang w:val="es-ES"/>
        </w:rPr>
        <w:t>[firma(s)]</w:t>
      </w:r>
    </w:p>
    <w:p>
      <w:pPr>
        <w:pStyle w:val="Textoindependiente"/>
        <w:rPr>
          <w:rFonts w:ascii="Times New Roman" w:hAnsi="Times New Roman" w:cs="Times New Roman"/>
          <w:sz w:val="22"/>
          <w:szCs w:val="22"/>
          <w:lang w:val="es-ES"/>
        </w:rPr>
      </w:pPr>
      <w:r>
        <w:rPr>
          <w:rFonts w:ascii="Times New Roman" w:hAnsi="Times New Roman" w:cs="Times New Roman"/>
          <w:sz w:val="22"/>
          <w:szCs w:val="22"/>
          <w:lang w:val="es-ES"/>
        </w:rPr>
        <w:br/>
      </w:r>
    </w:p>
    <w:p>
      <w:pPr>
        <w:jc w:val="both"/>
        <w:rPr>
          <w:b/>
          <w:i/>
          <w:sz w:val="22"/>
          <w:szCs w:val="22"/>
          <w:lang w:val="es-ES"/>
        </w:rPr>
      </w:pPr>
      <w:r>
        <w:rPr>
          <w:i/>
          <w:color w:val="0070C0"/>
          <w:sz w:val="22"/>
          <w:szCs w:val="22"/>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pPr>
        <w:rPr>
          <w:b/>
          <w:i/>
          <w:sz w:val="22"/>
          <w:szCs w:val="22"/>
          <w:lang w:val="es-ES"/>
        </w:rPr>
      </w:pPr>
    </w:p>
    <w:p>
      <w:pPr>
        <w:rPr>
          <w:b/>
          <w:i/>
          <w:sz w:val="22"/>
          <w:szCs w:val="22"/>
          <w:lang w:val="es-ES"/>
        </w:rPr>
      </w:pPr>
    </w:p>
    <w:p>
      <w:pPr>
        <w:jc w:val="both"/>
        <w:rPr>
          <w:sz w:val="22"/>
          <w:szCs w:val="22"/>
          <w:lang w:val="es-ES"/>
        </w:rPr>
      </w:pPr>
      <w:r>
        <w:rPr>
          <w:b/>
          <w:i/>
          <w:sz w:val="22"/>
          <w:szCs w:val="22"/>
          <w:lang w:val="es-ES"/>
        </w:rPr>
        <w:t xml:space="preserve">Nota: Todo el texto que aparece en letra cursiva (incluidas las notas de pie de página) sirve de guía para preparar este formulario y deberá omitirse en la versión definitiva. </w:t>
      </w: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lang w:val="es-ES"/>
        </w:rPr>
      </w:pPr>
    </w:p>
    <w:bookmarkEnd w:id="838"/>
    <w:p>
      <w:pPr>
        <w:ind w:right="468"/>
        <w:jc w:val="both"/>
        <w:rPr>
          <w:b/>
          <w:bCs/>
          <w:i/>
          <w:iCs/>
          <w:sz w:val="22"/>
          <w:szCs w:val="22"/>
          <w:lang w:val="es-ES"/>
        </w:rPr>
      </w:pPr>
    </w:p>
    <w:p>
      <w:pPr>
        <w:pStyle w:val="UG-SectionVI-Heading2"/>
        <w:rPr>
          <w:szCs w:val="32"/>
          <w:lang w:val="es-ES"/>
        </w:rPr>
      </w:pPr>
      <w:bookmarkStart w:id="839" w:name="_Toc78273069"/>
      <w:bookmarkStart w:id="840" w:name="_Toc111009247"/>
      <w:bookmarkStart w:id="841" w:name="_Toc428352208"/>
      <w:bookmarkStart w:id="842" w:name="_Toc438907199"/>
      <w:bookmarkStart w:id="843" w:name="_Toc438907299"/>
    </w:p>
    <w:p>
      <w:pPr>
        <w:rPr>
          <w:b/>
          <w:smallCaps/>
          <w:sz w:val="36"/>
          <w:lang w:val="es-ES"/>
        </w:rPr>
      </w:pPr>
      <w:bookmarkStart w:id="844" w:name="_Toc365535460"/>
      <w:r>
        <w:rPr>
          <w:lang w:val="es-ES"/>
        </w:rPr>
        <w:br w:type="page"/>
      </w:r>
    </w:p>
    <w:p>
      <w:pPr>
        <w:pStyle w:val="FormCGC"/>
        <w:rPr>
          <w:rFonts w:ascii="Times New Roman" w:hAnsi="Times New Roman" w:cs="Times New Roman"/>
        </w:rPr>
      </w:pPr>
      <w:bookmarkStart w:id="845" w:name="_Toc365535461"/>
      <w:bookmarkStart w:id="846" w:name="_Toc19112066"/>
      <w:bookmarkStart w:id="847" w:name="_Toc175253485"/>
      <w:bookmarkEnd w:id="844"/>
      <w:r>
        <w:rPr>
          <w:rFonts w:ascii="Times New Roman" w:hAnsi="Times New Roman" w:cs="Times New Roman"/>
        </w:rPr>
        <w:lastRenderedPageBreak/>
        <w:t>Garantía por Anticipo</w:t>
      </w:r>
      <w:bookmarkEnd w:id="839"/>
      <w:bookmarkEnd w:id="840"/>
      <w:bookmarkEnd w:id="845"/>
      <w:bookmarkEnd w:id="846"/>
      <w:bookmarkEnd w:id="847"/>
    </w:p>
    <w:bookmarkEnd w:id="841"/>
    <w:bookmarkEnd w:id="842"/>
    <w:bookmarkEnd w:id="843"/>
    <w:p>
      <w:pPr>
        <w:rPr>
          <w:lang w:val="es-ES"/>
        </w:rPr>
      </w:pPr>
    </w:p>
    <w:p>
      <w:pPr>
        <w:jc w:val="center"/>
        <w:rPr>
          <w:sz w:val="22"/>
          <w:szCs w:val="22"/>
          <w:lang w:val="es-ES"/>
        </w:rPr>
      </w:pPr>
      <w:r>
        <w:rPr>
          <w:b/>
          <w:sz w:val="22"/>
          <w:szCs w:val="22"/>
          <w:lang w:val="es-ES"/>
        </w:rPr>
        <w:t>Garantía a la Vista</w:t>
      </w:r>
    </w:p>
    <w:p>
      <w:pPr>
        <w:jc w:val="center"/>
        <w:rPr>
          <w:b/>
          <w:sz w:val="22"/>
          <w:szCs w:val="22"/>
          <w:lang w:val="es-ES"/>
        </w:rPr>
      </w:pPr>
      <w:r>
        <w:rPr>
          <w:b/>
          <w:sz w:val="22"/>
          <w:szCs w:val="22"/>
          <w:lang w:val="es-ES"/>
        </w:rPr>
        <w:t>NO APLICA</w:t>
      </w:r>
    </w:p>
    <w:p>
      <w:pPr>
        <w:pStyle w:val="NormalWeb"/>
        <w:rPr>
          <w:rFonts w:ascii="Times New Roman" w:hAnsi="Times New Roman"/>
          <w:i/>
          <w:sz w:val="22"/>
          <w:szCs w:val="22"/>
          <w:lang w:val="es-ES"/>
        </w:rPr>
      </w:pPr>
      <w:r>
        <w:rPr>
          <w:rFonts w:ascii="Times New Roman" w:hAnsi="Times New Roman"/>
          <w:i/>
          <w:sz w:val="22"/>
          <w:szCs w:val="22"/>
          <w:lang w:val="es-ES"/>
        </w:rPr>
        <w:t>______________________________ [Nombre del Banco y Dirección de la Sucursal u Oficina Emisora]</w:t>
      </w:r>
    </w:p>
    <w:p>
      <w:pPr>
        <w:pStyle w:val="NormalWeb"/>
        <w:rPr>
          <w:rFonts w:ascii="Times New Roman" w:hAnsi="Times New Roman"/>
          <w:i/>
          <w:sz w:val="22"/>
          <w:szCs w:val="22"/>
          <w:lang w:val="es-ES"/>
        </w:rPr>
      </w:pPr>
      <w:r>
        <w:rPr>
          <w:rFonts w:ascii="Times New Roman" w:hAnsi="Times New Roman"/>
          <w:b/>
          <w:sz w:val="22"/>
          <w:szCs w:val="22"/>
          <w:lang w:val="es-ES"/>
        </w:rPr>
        <w:t>Beneficiario:</w:t>
      </w:r>
      <w:r>
        <w:rPr>
          <w:rFonts w:ascii="Times New Roman" w:hAnsi="Times New Roman"/>
          <w:sz w:val="22"/>
          <w:szCs w:val="22"/>
          <w:lang w:val="es-ES"/>
        </w:rPr>
        <w:tab/>
        <w:t xml:space="preserve">___________________ </w:t>
      </w:r>
      <w:r>
        <w:rPr>
          <w:rFonts w:ascii="Times New Roman" w:hAnsi="Times New Roman"/>
          <w:i/>
          <w:sz w:val="22"/>
          <w:szCs w:val="22"/>
          <w:lang w:val="es-ES"/>
        </w:rPr>
        <w:t xml:space="preserve">[Nombre y Dirección del </w:t>
      </w:r>
      <w:r>
        <w:rPr>
          <w:rFonts w:ascii="Times New Roman" w:hAnsi="Times New Roman"/>
          <w:sz w:val="22"/>
          <w:szCs w:val="22"/>
          <w:lang w:val="es-ES"/>
        </w:rPr>
        <w:t xml:space="preserve"> Comprador</w:t>
      </w:r>
      <w:r>
        <w:rPr>
          <w:rFonts w:ascii="Times New Roman" w:hAnsi="Times New Roman"/>
          <w:i/>
          <w:sz w:val="22"/>
          <w:szCs w:val="22"/>
          <w:lang w:val="es-ES"/>
        </w:rPr>
        <w:t>]</w:t>
      </w:r>
    </w:p>
    <w:p>
      <w:pPr>
        <w:pStyle w:val="NormalWeb"/>
        <w:rPr>
          <w:rFonts w:ascii="Times New Roman" w:hAnsi="Times New Roman"/>
          <w:sz w:val="22"/>
          <w:szCs w:val="22"/>
          <w:lang w:val="es-ES"/>
        </w:rPr>
      </w:pPr>
      <w:r>
        <w:rPr>
          <w:rFonts w:ascii="Times New Roman" w:hAnsi="Times New Roman"/>
          <w:b/>
          <w:sz w:val="22"/>
          <w:szCs w:val="22"/>
          <w:lang w:val="es-ES"/>
        </w:rPr>
        <w:t>Fecha:</w:t>
      </w:r>
      <w:r>
        <w:rPr>
          <w:rFonts w:ascii="Times New Roman" w:hAnsi="Times New Roman"/>
          <w:sz w:val="22"/>
          <w:szCs w:val="22"/>
          <w:lang w:val="es-ES"/>
        </w:rPr>
        <w:tab/>
        <w:t>________________</w:t>
      </w:r>
    </w:p>
    <w:p>
      <w:pPr>
        <w:pStyle w:val="NormalWeb"/>
        <w:rPr>
          <w:rFonts w:ascii="Times New Roman" w:hAnsi="Times New Roman"/>
          <w:sz w:val="22"/>
          <w:szCs w:val="22"/>
          <w:lang w:val="es-ES"/>
        </w:rPr>
      </w:pPr>
      <w:r>
        <w:rPr>
          <w:rFonts w:ascii="Times New Roman" w:hAnsi="Times New Roman"/>
          <w:b/>
          <w:sz w:val="22"/>
          <w:szCs w:val="22"/>
          <w:lang w:val="es-ES"/>
        </w:rPr>
        <w:t>FIANZA POR ANTICIPO No.:</w:t>
      </w:r>
      <w:r>
        <w:rPr>
          <w:rFonts w:ascii="Times New Roman" w:hAnsi="Times New Roman"/>
          <w:sz w:val="22"/>
          <w:szCs w:val="22"/>
          <w:lang w:val="es-ES"/>
        </w:rPr>
        <w:tab/>
        <w:t>_________________</w:t>
      </w:r>
    </w:p>
    <w:p>
      <w:pPr>
        <w:pStyle w:val="NormalWeb"/>
        <w:jc w:val="both"/>
        <w:rPr>
          <w:rFonts w:ascii="Times New Roman" w:hAnsi="Times New Roman"/>
          <w:sz w:val="22"/>
          <w:szCs w:val="22"/>
          <w:lang w:val="es-ES"/>
        </w:rPr>
      </w:pPr>
      <w:r>
        <w:rPr>
          <w:rFonts w:ascii="Times New Roman" w:hAnsi="Times New Roman"/>
          <w:sz w:val="22"/>
          <w:szCs w:val="22"/>
          <w:lang w:val="es-ES"/>
        </w:rPr>
        <w:t xml:space="preserve">Se nos ha informado que </w:t>
      </w:r>
      <w:r>
        <w:rPr>
          <w:rFonts w:ascii="Times New Roman" w:hAnsi="Times New Roman"/>
          <w:i/>
          <w:iCs/>
          <w:sz w:val="22"/>
          <w:szCs w:val="22"/>
          <w:lang w:val="es-ES"/>
        </w:rPr>
        <w:t xml:space="preserve">[indique el nombre del Proveedor, que, en el caso de APCA, será el de la APCA] </w:t>
      </w:r>
      <w:r>
        <w:rPr>
          <w:rFonts w:ascii="Times New Roman" w:hAnsi="Times New Roman"/>
          <w:sz w:val="22"/>
          <w:szCs w:val="22"/>
          <w:lang w:val="es-ES"/>
        </w:rPr>
        <w:t>(en adelante, el “Solicitante”) ha celebrado el Contrato n.</w:t>
      </w:r>
      <w:r>
        <w:rPr>
          <w:rFonts w:ascii="Times New Roman" w:hAnsi="Times New Roman"/>
          <w:sz w:val="22"/>
          <w:szCs w:val="22"/>
          <w:lang w:val="es-ES"/>
        </w:rPr>
        <w:sym w:font="Symbol" w:char="F0B0"/>
      </w:r>
      <w:r>
        <w:rPr>
          <w:rFonts w:ascii="Times New Roman" w:hAnsi="Times New Roman"/>
          <w:i/>
          <w:iCs/>
          <w:sz w:val="22"/>
          <w:szCs w:val="22"/>
          <w:lang w:val="es-ES"/>
        </w:rPr>
        <w:t xml:space="preserve"> [indique número de referencia del Contrato]</w:t>
      </w:r>
      <w:r>
        <w:rPr>
          <w:rFonts w:ascii="Times New Roman" w:hAnsi="Times New Roman"/>
          <w:sz w:val="22"/>
          <w:szCs w:val="22"/>
          <w:lang w:val="es-ES"/>
        </w:rPr>
        <w:t xml:space="preserve">, de fecha </w:t>
      </w:r>
      <w:r>
        <w:rPr>
          <w:rFonts w:ascii="Times New Roman" w:hAnsi="Times New Roman"/>
          <w:i/>
          <w:iCs/>
          <w:sz w:val="22"/>
          <w:szCs w:val="22"/>
          <w:lang w:val="es-ES"/>
        </w:rPr>
        <w:t xml:space="preserve">[indique fecha] </w:t>
      </w:r>
      <w:r>
        <w:rPr>
          <w:rFonts w:ascii="Times New Roman" w:hAnsi="Times New Roman"/>
          <w:sz w:val="22"/>
          <w:szCs w:val="22"/>
          <w:lang w:val="es-ES"/>
        </w:rPr>
        <w:t xml:space="preserve">con el Beneficiario, para el suministro de </w:t>
      </w:r>
      <w:r>
        <w:rPr>
          <w:rFonts w:ascii="Times New Roman" w:hAnsi="Times New Roman"/>
          <w:i/>
          <w:iCs/>
          <w:sz w:val="22"/>
          <w:szCs w:val="22"/>
          <w:lang w:val="es-ES"/>
        </w:rPr>
        <w:t xml:space="preserve">[indique nombre del contrato y breve descripción de los Bienes y Servicios Conexos] </w:t>
      </w:r>
      <w:r>
        <w:rPr>
          <w:rFonts w:ascii="Times New Roman" w:hAnsi="Times New Roman"/>
          <w:sz w:val="22"/>
          <w:szCs w:val="22"/>
          <w:lang w:val="es-ES"/>
        </w:rPr>
        <w:t>(en adelante, el “Contrato”).</w:t>
      </w:r>
    </w:p>
    <w:p>
      <w:pPr>
        <w:pStyle w:val="NormalWeb"/>
        <w:jc w:val="both"/>
        <w:rPr>
          <w:rFonts w:ascii="Times New Roman" w:hAnsi="Times New Roman"/>
          <w:sz w:val="22"/>
          <w:szCs w:val="22"/>
          <w:lang w:val="es-ES"/>
        </w:rPr>
      </w:pPr>
      <w:r>
        <w:rPr>
          <w:rFonts w:ascii="Times New Roman" w:hAnsi="Times New Roman"/>
          <w:sz w:val="22"/>
          <w:szCs w:val="22"/>
          <w:lang w:val="es-ES"/>
        </w:rPr>
        <w:t xml:space="preserve">Además, entendemos que, de conformidad con las condiciones del Contrato, es preciso hacer un pago anticipado por un monto de ___________ </w:t>
      </w:r>
      <w:r>
        <w:rPr>
          <w:rFonts w:ascii="Times New Roman" w:hAnsi="Times New Roman"/>
          <w:i/>
          <w:sz w:val="22"/>
          <w:szCs w:val="22"/>
          <w:lang w:val="es-ES"/>
        </w:rPr>
        <w:t xml:space="preserve">[monto en cifras] </w:t>
      </w:r>
      <w:r>
        <w:rPr>
          <w:rFonts w:ascii="Times New Roman" w:hAnsi="Times New Roman"/>
          <w:sz w:val="22"/>
          <w:szCs w:val="22"/>
          <w:lang w:val="es-ES"/>
        </w:rPr>
        <w:t>(</w:t>
      </w:r>
      <w:r>
        <w:rPr>
          <w:rFonts w:ascii="Times New Roman" w:hAnsi="Times New Roman"/>
          <w:sz w:val="22"/>
          <w:szCs w:val="22"/>
          <w:u w:val="single"/>
          <w:lang w:val="es-ES"/>
        </w:rPr>
        <w:t xml:space="preserve">                    </w:t>
      </w:r>
      <w:r>
        <w:rPr>
          <w:rFonts w:ascii="Times New Roman" w:hAnsi="Times New Roman"/>
          <w:sz w:val="22"/>
          <w:szCs w:val="22"/>
          <w:lang w:val="es-ES"/>
        </w:rPr>
        <w:t>)</w:t>
      </w:r>
      <w:r>
        <w:rPr>
          <w:rFonts w:ascii="Times New Roman" w:hAnsi="Times New Roman"/>
          <w:i/>
          <w:sz w:val="22"/>
          <w:szCs w:val="22"/>
          <w:lang w:val="es-ES"/>
        </w:rPr>
        <w:t xml:space="preserve"> [monto en palabras]</w:t>
      </w:r>
      <w:r>
        <w:rPr>
          <w:rFonts w:ascii="Times New Roman" w:hAnsi="Times New Roman"/>
          <w:sz w:val="22"/>
          <w:szCs w:val="22"/>
          <w:lang w:val="es-ES"/>
        </w:rPr>
        <w:t xml:space="preserve"> contra una fianza por pago anticipado. </w:t>
      </w:r>
    </w:p>
    <w:p>
      <w:pPr>
        <w:pStyle w:val="NormalWeb"/>
        <w:jc w:val="both"/>
        <w:rPr>
          <w:rFonts w:ascii="Times New Roman" w:hAnsi="Times New Roman"/>
          <w:sz w:val="22"/>
          <w:szCs w:val="22"/>
          <w:lang w:val="es-ES"/>
        </w:rPr>
      </w:pPr>
      <w:r>
        <w:rPr>
          <w:rFonts w:ascii="Times New Roman" w:hAnsi="Times New Roman"/>
          <w:sz w:val="22"/>
          <w:szCs w:val="22"/>
          <w:lang w:val="es-ES"/>
        </w:rPr>
        <w:t xml:space="preserve">A solicitud del Solicitante, nosotros, en calidad de Garantes, por medio de la presente Garantía nos obligamos irrevocablemente a pagar al Beneficiario una suma (o sumas) que no exceda </w:t>
      </w:r>
      <w:r>
        <w:rPr>
          <w:rFonts w:ascii="Times New Roman" w:hAnsi="Times New Roman"/>
          <w:i/>
          <w:iCs/>
          <w:sz w:val="22"/>
          <w:szCs w:val="22"/>
          <w:lang w:val="es-ES"/>
        </w:rPr>
        <w:t xml:space="preserve">[indique la(s) suma(s) en cifras y en letras] </w:t>
      </w:r>
      <w:r>
        <w:rPr>
          <w:rFonts w:ascii="Times New Roman" w:hAnsi="Times New Roman"/>
          <w:sz w:val="22"/>
          <w:szCs w:val="22"/>
          <w:lang w:val="es-ES"/>
        </w:rPr>
        <w:t>(</w:t>
      </w:r>
      <w:r>
        <w:rPr>
          <w:rFonts w:ascii="Times New Roman" w:hAnsi="Times New Roman"/>
          <w:sz w:val="22"/>
          <w:szCs w:val="22"/>
          <w:u w:val="single"/>
          <w:lang w:val="es-ES"/>
        </w:rPr>
        <w:t xml:space="preserve">          </w:t>
      </w:r>
      <w:r>
        <w:rPr>
          <w:rFonts w:ascii="Times New Roman" w:hAnsi="Times New Roman"/>
          <w:sz w:val="22"/>
          <w:szCs w:val="22"/>
          <w:lang w:val="es-ES"/>
        </w:rPr>
        <w:t>)</w:t>
      </w:r>
      <w:r>
        <w:rPr>
          <w:rStyle w:val="Refdenotaalpie"/>
          <w:rFonts w:ascii="Times New Roman" w:hAnsi="Times New Roman"/>
          <w:i/>
          <w:iCs/>
          <w:sz w:val="22"/>
          <w:szCs w:val="22"/>
          <w:lang w:val="es-ES"/>
        </w:rPr>
        <w:t>1</w:t>
      </w:r>
      <w:r>
        <w:rPr>
          <w:rFonts w:ascii="Times New Roman" w:hAnsi="Times New Roman"/>
          <w:sz w:val="22"/>
          <w:szCs w:val="22"/>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pPr>
        <w:pStyle w:val="P3Header1-Clauses"/>
        <w:numPr>
          <w:ilvl w:val="2"/>
          <w:numId w:val="89"/>
        </w:numPr>
        <w:rPr>
          <w:sz w:val="22"/>
          <w:szCs w:val="22"/>
          <w:lang w:val="es-ES"/>
        </w:rPr>
      </w:pPr>
      <w:r>
        <w:rPr>
          <w:sz w:val="22"/>
          <w:szCs w:val="22"/>
          <w:lang w:val="es-ES"/>
        </w:rPr>
        <w:footnoteReference w:customMarkFollows="1" w:id="16"/>
        <w:t>ha utilizado el pago de anticipo para otros fines que los estipulados para la provisión de los Bienes, o</w:t>
      </w:r>
    </w:p>
    <w:p>
      <w:pPr>
        <w:pStyle w:val="P3Header1-Clauses"/>
        <w:numPr>
          <w:ilvl w:val="2"/>
          <w:numId w:val="89"/>
        </w:numPr>
        <w:rPr>
          <w:sz w:val="22"/>
          <w:szCs w:val="22"/>
          <w:lang w:val="es-ES"/>
        </w:rPr>
      </w:pPr>
      <w:r>
        <w:rPr>
          <w:sz w:val="22"/>
          <w:szCs w:val="22"/>
          <w:lang w:val="es-ES"/>
        </w:rPr>
        <w:t xml:space="preserve">no ha cumplido con el reembolso del pago por anticipo de acuerdo con las condiciones del Contrato, especificando el monto que el Solicitante no ha reembolsado. </w:t>
      </w:r>
    </w:p>
    <w:p>
      <w:pPr>
        <w:pStyle w:val="NormalWeb"/>
        <w:jc w:val="both"/>
        <w:rPr>
          <w:rFonts w:ascii="Times New Roman" w:hAnsi="Times New Roman"/>
          <w:sz w:val="22"/>
          <w:szCs w:val="22"/>
          <w:lang w:val="es-ES"/>
        </w:rPr>
      </w:pPr>
      <w:r>
        <w:rPr>
          <w:rFonts w:ascii="Times New Roman" w:hAnsi="Times New Roman"/>
          <w:sz w:val="22"/>
          <w:szCs w:val="22"/>
          <w:lang w:val="es-ES"/>
        </w:rPr>
        <w:t xml:space="preserve">En virtud de esta Garantía se podrá presentar un reclamo a partir del momento en que el Garante presente un certificado del banco del Beneficiario en el que se indique que el pago mencionado arriba se ha acreditado en la cuenta número </w:t>
      </w:r>
      <w:r>
        <w:rPr>
          <w:rFonts w:ascii="Times New Roman" w:hAnsi="Times New Roman"/>
          <w:i/>
          <w:iCs/>
          <w:sz w:val="22"/>
          <w:szCs w:val="22"/>
          <w:lang w:val="es-ES"/>
        </w:rPr>
        <w:t>[indique número]</w:t>
      </w:r>
      <w:r>
        <w:rPr>
          <w:rFonts w:ascii="Times New Roman" w:hAnsi="Times New Roman"/>
          <w:iCs/>
          <w:sz w:val="22"/>
          <w:szCs w:val="22"/>
          <w:lang w:val="es-ES"/>
        </w:rPr>
        <w:t xml:space="preserve"> que el Solicitante mantiene en</w:t>
      </w:r>
      <w:r>
        <w:rPr>
          <w:rFonts w:ascii="Times New Roman" w:hAnsi="Times New Roman"/>
          <w:sz w:val="22"/>
          <w:szCs w:val="22"/>
          <w:lang w:val="es-ES"/>
        </w:rPr>
        <w:t xml:space="preserve"> </w:t>
      </w:r>
      <w:r>
        <w:rPr>
          <w:rFonts w:ascii="Times New Roman" w:hAnsi="Times New Roman"/>
          <w:i/>
          <w:iCs/>
          <w:sz w:val="22"/>
          <w:szCs w:val="22"/>
          <w:lang w:val="es-ES"/>
        </w:rPr>
        <w:t>[indique el nombre y la dirección del banco del Solicitante].</w:t>
      </w:r>
    </w:p>
    <w:p>
      <w:pPr>
        <w:pStyle w:val="NormalWeb"/>
        <w:jc w:val="both"/>
        <w:rPr>
          <w:rFonts w:ascii="Times New Roman" w:hAnsi="Times New Roman"/>
          <w:sz w:val="22"/>
          <w:szCs w:val="22"/>
          <w:lang w:val="es-ES"/>
        </w:rPr>
      </w:pPr>
      <w:r>
        <w:rPr>
          <w:rFonts w:ascii="Times New Roman" w:hAnsi="Times New Roman"/>
          <w:sz w:val="22"/>
          <w:szCs w:val="22"/>
          <w:lang w:val="es-ES"/>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pPr>
        <w:pStyle w:val="NormalWeb"/>
        <w:jc w:val="both"/>
        <w:rPr>
          <w:rFonts w:ascii="Times New Roman" w:hAnsi="Times New Roman"/>
          <w:sz w:val="22"/>
          <w:szCs w:val="22"/>
          <w:lang w:val="es-ES"/>
        </w:rPr>
      </w:pPr>
      <w:r>
        <w:rPr>
          <w:rFonts w:ascii="Times New Roman" w:hAnsi="Times New Roman"/>
          <w:sz w:val="22"/>
          <w:szCs w:val="22"/>
          <w:lang w:val="es-ES"/>
        </w:rPr>
        <w:lastRenderedPageBreak/>
        <w:t>Esta garantía está sujeta a las Reglas Uniformes de la Cámara de Comercio Internacional relativas a las garantías contra primera solicitud, revisión de 2010, publicación n.</w:t>
      </w:r>
      <w:r>
        <w:rPr>
          <w:rFonts w:ascii="Times New Roman" w:hAnsi="Times New Roman"/>
          <w:sz w:val="22"/>
          <w:szCs w:val="22"/>
          <w:lang w:val="es-ES"/>
        </w:rPr>
        <w:sym w:font="Symbol" w:char="F0B0"/>
      </w:r>
      <w:r>
        <w:rPr>
          <w:rFonts w:ascii="Times New Roman" w:hAnsi="Times New Roman"/>
          <w:sz w:val="22"/>
          <w:szCs w:val="22"/>
          <w:lang w:val="es-ES"/>
        </w:rPr>
        <w:t> 758 de la CCI; queda excluida de la presente la declaración de respaldo del inciso (a) del artículo 15 de dichas reglas.</w:t>
      </w:r>
    </w:p>
    <w:p>
      <w:pPr>
        <w:rPr>
          <w:sz w:val="22"/>
          <w:szCs w:val="22"/>
          <w:lang w:val="es-ES"/>
        </w:rPr>
      </w:pPr>
    </w:p>
    <w:p>
      <w:pPr>
        <w:rPr>
          <w:sz w:val="22"/>
          <w:szCs w:val="22"/>
          <w:lang w:val="es-ES"/>
        </w:rPr>
      </w:pPr>
      <w:r>
        <w:rPr>
          <w:sz w:val="22"/>
          <w:szCs w:val="22"/>
          <w:lang w:val="es-ES"/>
        </w:rPr>
        <w:t xml:space="preserve">____________________ </w:t>
      </w:r>
      <w:r>
        <w:rPr>
          <w:sz w:val="22"/>
          <w:szCs w:val="22"/>
          <w:lang w:val="es-ES"/>
        </w:rPr>
        <w:br/>
      </w:r>
      <w:r>
        <w:rPr>
          <w:i/>
          <w:sz w:val="22"/>
          <w:szCs w:val="22"/>
          <w:lang w:val="es-ES"/>
        </w:rPr>
        <w:t>[firma(s)]</w:t>
      </w:r>
      <w:r>
        <w:rPr>
          <w:sz w:val="22"/>
          <w:szCs w:val="22"/>
          <w:lang w:val="es-ES"/>
        </w:rPr>
        <w:t xml:space="preserve"> </w:t>
      </w:r>
    </w:p>
    <w:p>
      <w:pPr>
        <w:rPr>
          <w:b/>
          <w:i/>
          <w:sz w:val="22"/>
          <w:szCs w:val="22"/>
          <w:lang w:val="es-ES"/>
        </w:rPr>
      </w:pPr>
      <w:r>
        <w:rPr>
          <w:sz w:val="22"/>
          <w:szCs w:val="22"/>
          <w:lang w:val="es-ES"/>
        </w:rPr>
        <w:br/>
      </w:r>
    </w:p>
    <w:p>
      <w:pPr>
        <w:jc w:val="both"/>
        <w:rPr>
          <w:b/>
          <w:i/>
          <w:sz w:val="22"/>
          <w:szCs w:val="22"/>
          <w:lang w:val="es-ES"/>
        </w:rPr>
      </w:pPr>
      <w:r>
        <w:rPr>
          <w:i/>
          <w:color w:val="0070C0"/>
          <w:sz w:val="22"/>
          <w:szCs w:val="22"/>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pPr>
        <w:jc w:val="both"/>
        <w:rPr>
          <w:b/>
          <w:i/>
          <w:sz w:val="22"/>
          <w:szCs w:val="22"/>
          <w:lang w:val="es-ES"/>
        </w:rPr>
      </w:pPr>
    </w:p>
    <w:p>
      <w:pPr>
        <w:jc w:val="both"/>
        <w:rPr>
          <w:sz w:val="22"/>
          <w:szCs w:val="22"/>
          <w:lang w:val="es-ES"/>
        </w:rPr>
      </w:pPr>
      <w:r>
        <w:rPr>
          <w:b/>
          <w:i/>
          <w:sz w:val="22"/>
          <w:szCs w:val="22"/>
          <w:lang w:val="es-ES"/>
        </w:rPr>
        <w:t>Nota: Todo el texto que aparece en letra cursiva (incluidas las notas de pie de página) sirve de guía para preparar este formulario y deberá omitirse en la versión definitiva.</w:t>
      </w:r>
    </w:p>
    <w:p>
      <w:pPr>
        <w:rPr>
          <w:sz w:val="22"/>
          <w:szCs w:val="22"/>
          <w:lang w:val="es-ES"/>
        </w:rPr>
      </w:pPr>
    </w:p>
    <w:p>
      <w:pPr>
        <w:rPr>
          <w:b/>
          <w:smallCaps/>
          <w:sz w:val="22"/>
          <w:szCs w:val="22"/>
          <w:lang w:val="es-ES"/>
        </w:rPr>
      </w:pPr>
      <w:r>
        <w:rPr>
          <w:sz w:val="22"/>
          <w:szCs w:val="22"/>
          <w:lang w:val="es-ES"/>
        </w:rPr>
        <w:br w:type="page"/>
      </w:r>
    </w:p>
    <w:p>
      <w:pPr>
        <w:pStyle w:val="FormCGC"/>
        <w:rPr>
          <w:rFonts w:ascii="Times New Roman" w:hAnsi="Times New Roman" w:cs="Times New Roman"/>
        </w:rPr>
      </w:pPr>
      <w:bookmarkStart w:id="848" w:name="_Toc175253486"/>
      <w:r>
        <w:rPr>
          <w:rFonts w:ascii="Times New Roman" w:hAnsi="Times New Roman" w:cs="Times New Roman"/>
        </w:rPr>
        <w:lastRenderedPageBreak/>
        <w:t>Fianza de Cumplimiento</w:t>
      </w:r>
      <w:bookmarkEnd w:id="848"/>
    </w:p>
    <w:p>
      <w:pPr>
        <w:rPr>
          <w:iCs/>
          <w:lang w:val="es-ES"/>
        </w:rPr>
      </w:pPr>
    </w:p>
    <w:p>
      <w:pPr>
        <w:jc w:val="center"/>
        <w:rPr>
          <w:iCs/>
          <w:sz w:val="22"/>
          <w:szCs w:val="22"/>
          <w:lang w:val="es-ES"/>
        </w:rPr>
      </w:pPr>
      <w:r>
        <w:rPr>
          <w:b/>
          <w:bCs/>
          <w:sz w:val="22"/>
          <w:szCs w:val="22"/>
          <w:lang w:val="es-ES"/>
        </w:rPr>
        <w:t>Opción 2: Fianza de Cumplimiento</w:t>
      </w:r>
    </w:p>
    <w:p>
      <w:pPr>
        <w:jc w:val="center"/>
        <w:rPr>
          <w:b/>
          <w:iCs/>
          <w:sz w:val="22"/>
          <w:szCs w:val="22"/>
          <w:lang w:val="es-ES"/>
        </w:rPr>
      </w:pPr>
      <w:r>
        <w:rPr>
          <w:b/>
          <w:iCs/>
          <w:sz w:val="22"/>
          <w:szCs w:val="22"/>
          <w:lang w:val="es-ES"/>
        </w:rPr>
        <w:t>NO APLICA</w:t>
      </w:r>
    </w:p>
    <w:p>
      <w:pPr>
        <w:jc w:val="both"/>
        <w:rPr>
          <w:iCs/>
          <w:sz w:val="22"/>
          <w:szCs w:val="22"/>
          <w:lang w:val="es-ES"/>
        </w:rPr>
      </w:pPr>
      <w:r>
        <w:rPr>
          <w:sz w:val="22"/>
          <w:szCs w:val="22"/>
          <w:lang w:val="es-ES"/>
        </w:rPr>
        <w:t xml:space="preserve">Por esta Fianza, </w:t>
      </w:r>
      <w:r>
        <w:rPr>
          <w:i/>
          <w:iCs/>
          <w:sz w:val="22"/>
          <w:szCs w:val="22"/>
          <w:lang w:val="es-ES"/>
        </w:rPr>
        <w:t>[indique el nombre del obligado principal]</w:t>
      </w:r>
      <w:r>
        <w:rPr>
          <w:sz w:val="22"/>
          <w:szCs w:val="22"/>
          <w:lang w:val="es-ES"/>
        </w:rPr>
        <w:t xml:space="preserve">, como Mandante (en adelante, el “Proveedor”), y </w:t>
      </w:r>
      <w:r>
        <w:rPr>
          <w:i/>
          <w:iCs/>
          <w:sz w:val="22"/>
          <w:szCs w:val="22"/>
          <w:lang w:val="es-ES"/>
        </w:rPr>
        <w:t xml:space="preserve">[indique el nombre del Garante], </w:t>
      </w:r>
      <w:r>
        <w:rPr>
          <w:sz w:val="22"/>
          <w:szCs w:val="22"/>
          <w:lang w:val="es-ES"/>
        </w:rPr>
        <w:t xml:space="preserve">como Garante (en adelante, el “Garante”), se obligan y obligan a sus herederos, albaceas, administradores, sucesores y cesionarios de manera firme, conjunta y solidaria ante </w:t>
      </w:r>
      <w:r>
        <w:rPr>
          <w:i/>
          <w:iCs/>
          <w:sz w:val="22"/>
          <w:szCs w:val="22"/>
          <w:lang w:val="es-ES"/>
        </w:rPr>
        <w:t xml:space="preserve">[indique el nombre del Comprador] </w:t>
      </w:r>
      <w:r>
        <w:rPr>
          <w:sz w:val="22"/>
          <w:szCs w:val="22"/>
          <w:lang w:val="es-ES"/>
        </w:rPr>
        <w:t xml:space="preserve">como Obligante (en lo sucesivo, el “Proveedor”) por el monto de </w:t>
      </w:r>
      <w:r>
        <w:rPr>
          <w:i/>
          <w:iCs/>
          <w:sz w:val="22"/>
          <w:szCs w:val="22"/>
          <w:lang w:val="es-ES"/>
        </w:rPr>
        <w:t>[indique el monto en letras y números]</w:t>
      </w:r>
      <w:r>
        <w:rPr>
          <w:sz w:val="22"/>
          <w:szCs w:val="22"/>
          <w:lang w:val="es-ES"/>
        </w:rPr>
        <w:t>, cuyo pago deberá realizarse correcta y efectivamente en los tipos y proporciones de monedas en que sea pagadero el Precio del Contrato.</w:t>
      </w:r>
    </w:p>
    <w:p>
      <w:pPr>
        <w:jc w:val="both"/>
        <w:rPr>
          <w:iCs/>
          <w:sz w:val="22"/>
          <w:szCs w:val="22"/>
          <w:lang w:val="es-ES"/>
        </w:rPr>
      </w:pPr>
    </w:p>
    <w:p>
      <w:pPr>
        <w:tabs>
          <w:tab w:val="left" w:pos="1260"/>
          <w:tab w:val="left" w:pos="4140"/>
          <w:tab w:val="left" w:pos="5387"/>
        </w:tabs>
        <w:jc w:val="both"/>
        <w:rPr>
          <w:iCs/>
          <w:sz w:val="22"/>
          <w:szCs w:val="22"/>
          <w:lang w:val="es-ES"/>
        </w:rPr>
      </w:pPr>
      <w:r>
        <w:rPr>
          <w:sz w:val="22"/>
          <w:szCs w:val="22"/>
          <w:lang w:val="es-ES"/>
        </w:rPr>
        <w:t>POR CUANTO el Proveedor ha celebrado un Contrato escrito con el Comprador con fecha</w:t>
      </w:r>
      <w:r>
        <w:rPr>
          <w:iCs/>
          <w:sz w:val="22"/>
          <w:szCs w:val="22"/>
          <w:u w:val="single"/>
          <w:lang w:val="es-ES"/>
        </w:rPr>
        <w:tab/>
      </w:r>
      <w:r>
        <w:rPr>
          <w:sz w:val="22"/>
          <w:szCs w:val="22"/>
          <w:lang w:val="es-ES"/>
        </w:rPr>
        <w:t xml:space="preserve"> de</w:t>
      </w:r>
      <w:r>
        <w:rPr>
          <w:iCs/>
          <w:sz w:val="22"/>
          <w:szCs w:val="22"/>
          <w:u w:val="single"/>
          <w:lang w:val="es-ES"/>
        </w:rPr>
        <w:tab/>
      </w:r>
      <w:r>
        <w:rPr>
          <w:sz w:val="22"/>
          <w:szCs w:val="22"/>
          <w:lang w:val="es-ES"/>
        </w:rPr>
        <w:t xml:space="preserve"> de 20 </w:t>
      </w:r>
      <w:r>
        <w:rPr>
          <w:iCs/>
          <w:sz w:val="22"/>
          <w:szCs w:val="22"/>
          <w:u w:val="single"/>
          <w:lang w:val="es-ES"/>
        </w:rPr>
        <w:tab/>
      </w:r>
      <w:r>
        <w:rPr>
          <w:sz w:val="22"/>
          <w:szCs w:val="22"/>
          <w:lang w:val="es-ES"/>
        </w:rPr>
        <w:t xml:space="preserve">, para </w:t>
      </w:r>
      <w:r>
        <w:rPr>
          <w:i/>
          <w:iCs/>
          <w:sz w:val="22"/>
          <w:szCs w:val="22"/>
          <w:lang w:val="es-ES"/>
        </w:rPr>
        <w:t>[nombre del contrato y breve descripción de los Bienes y Servicios Conexos]</w:t>
      </w:r>
      <w:r>
        <w:rPr>
          <w:sz w:val="22"/>
          <w:szCs w:val="22"/>
          <w:lang w:val="es-ES"/>
        </w:rPr>
        <w:t>, de conformidad con los documentos, planos, especificaciones y enmiendas respectivas, los cuales, en la medida aquí contemplada, forman parte de la presente fianza a modo de referencia y se denominan en lo sucesivo el Contrato.</w:t>
      </w:r>
    </w:p>
    <w:p>
      <w:pPr>
        <w:tabs>
          <w:tab w:val="left" w:pos="1440"/>
          <w:tab w:val="left" w:pos="4320"/>
        </w:tabs>
        <w:jc w:val="both"/>
        <w:rPr>
          <w:iCs/>
          <w:sz w:val="22"/>
          <w:szCs w:val="22"/>
          <w:lang w:val="es-ES"/>
        </w:rPr>
      </w:pPr>
    </w:p>
    <w:p>
      <w:pPr>
        <w:jc w:val="both"/>
        <w:rPr>
          <w:iCs/>
          <w:sz w:val="22"/>
          <w:szCs w:val="22"/>
          <w:lang w:val="es-ES"/>
        </w:rPr>
      </w:pPr>
      <w:r>
        <w:rPr>
          <w:sz w:val="22"/>
          <w:szCs w:val="22"/>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pPr>
        <w:jc w:val="both"/>
        <w:rPr>
          <w:iCs/>
          <w:sz w:val="22"/>
          <w:szCs w:val="22"/>
          <w:lang w:val="es-ES"/>
        </w:rPr>
      </w:pPr>
    </w:p>
    <w:p>
      <w:pPr>
        <w:tabs>
          <w:tab w:val="left" w:pos="1080"/>
        </w:tabs>
        <w:ind w:left="1080" w:hanging="540"/>
        <w:jc w:val="both"/>
        <w:rPr>
          <w:iCs/>
          <w:sz w:val="22"/>
          <w:szCs w:val="22"/>
          <w:lang w:val="es-ES"/>
        </w:rPr>
      </w:pPr>
      <w:r>
        <w:rPr>
          <w:sz w:val="22"/>
          <w:szCs w:val="22"/>
          <w:lang w:val="es-ES"/>
        </w:rPr>
        <w:t>(1)</w:t>
      </w:r>
      <w:r>
        <w:rPr>
          <w:sz w:val="22"/>
          <w:szCs w:val="22"/>
          <w:lang w:val="es-ES"/>
        </w:rPr>
        <w:tab/>
        <w:t>Finalizar el Contrato de conformidad con los términos y condiciones establecidos.</w:t>
      </w:r>
    </w:p>
    <w:p>
      <w:pPr>
        <w:tabs>
          <w:tab w:val="left" w:pos="1080"/>
        </w:tabs>
        <w:ind w:left="1080" w:hanging="540"/>
        <w:jc w:val="both"/>
        <w:rPr>
          <w:iCs/>
          <w:sz w:val="22"/>
          <w:szCs w:val="22"/>
          <w:lang w:val="es-ES"/>
        </w:rPr>
      </w:pPr>
    </w:p>
    <w:p>
      <w:pPr>
        <w:tabs>
          <w:tab w:val="left" w:pos="1080"/>
        </w:tabs>
        <w:ind w:left="1080" w:hanging="540"/>
        <w:jc w:val="both"/>
        <w:rPr>
          <w:iCs/>
          <w:sz w:val="22"/>
          <w:szCs w:val="22"/>
          <w:lang w:val="es-ES"/>
        </w:rPr>
      </w:pPr>
      <w:r>
        <w:rPr>
          <w:sz w:val="22"/>
          <w:szCs w:val="22"/>
          <w:lang w:val="es-ES"/>
        </w:rPr>
        <w:t>(2)</w:t>
      </w:r>
      <w:r>
        <w:rPr>
          <w:sz w:val="22"/>
          <w:szCs w:val="22"/>
          <w:lang w:val="es-E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pPr>
        <w:tabs>
          <w:tab w:val="left" w:pos="1080"/>
        </w:tabs>
        <w:ind w:left="1080" w:hanging="540"/>
        <w:rPr>
          <w:iCs/>
          <w:sz w:val="22"/>
          <w:szCs w:val="22"/>
          <w:lang w:val="es-ES"/>
        </w:rPr>
      </w:pPr>
    </w:p>
    <w:p>
      <w:pPr>
        <w:tabs>
          <w:tab w:val="left" w:pos="1080"/>
        </w:tabs>
        <w:ind w:left="1080" w:hanging="540"/>
        <w:jc w:val="both"/>
        <w:rPr>
          <w:iCs/>
          <w:sz w:val="22"/>
          <w:szCs w:val="22"/>
          <w:lang w:val="es-ES"/>
        </w:rPr>
      </w:pPr>
      <w:r>
        <w:rPr>
          <w:sz w:val="22"/>
          <w:szCs w:val="22"/>
          <w:lang w:val="es-ES"/>
        </w:rPr>
        <w:t>(3)</w:t>
      </w:r>
      <w:r>
        <w:rPr>
          <w:sz w:val="22"/>
          <w:szCs w:val="22"/>
          <w:lang w:val="es-ES"/>
        </w:rPr>
        <w:tab/>
        <w:t>Pagar al Comprador el monto exigido por este para finalizar el Contrato de conformidad con los términos y condiciones establecidos en él, por un total máximo que no supere el de esta Fianza.</w:t>
      </w:r>
    </w:p>
    <w:p>
      <w:pPr>
        <w:jc w:val="both"/>
        <w:rPr>
          <w:iCs/>
          <w:sz w:val="22"/>
          <w:szCs w:val="22"/>
          <w:lang w:val="es-ES"/>
        </w:rPr>
      </w:pPr>
    </w:p>
    <w:p>
      <w:pPr>
        <w:jc w:val="both"/>
        <w:rPr>
          <w:iCs/>
          <w:sz w:val="22"/>
          <w:szCs w:val="22"/>
          <w:lang w:val="es-ES"/>
        </w:rPr>
      </w:pPr>
      <w:r>
        <w:rPr>
          <w:sz w:val="22"/>
          <w:szCs w:val="22"/>
          <w:lang w:val="es-ES"/>
        </w:rPr>
        <w:t>El Garante no será responsable por un monto mayor que el de la penalidad especificada en esta Fianza.</w:t>
      </w:r>
    </w:p>
    <w:p>
      <w:pPr>
        <w:jc w:val="both"/>
        <w:rPr>
          <w:iCs/>
          <w:sz w:val="22"/>
          <w:szCs w:val="22"/>
          <w:lang w:val="es-ES"/>
        </w:rPr>
      </w:pPr>
    </w:p>
    <w:p>
      <w:pPr>
        <w:jc w:val="both"/>
        <w:rPr>
          <w:iCs/>
          <w:sz w:val="22"/>
          <w:szCs w:val="22"/>
          <w:lang w:val="es-ES"/>
        </w:rPr>
      </w:pPr>
      <w:r>
        <w:rPr>
          <w:sz w:val="22"/>
          <w:szCs w:val="22"/>
          <w:lang w:val="es-ES"/>
        </w:rPr>
        <w:t>Cualquier acción legal derivada de esta Fianza deberá entablarse antes de transcurrido un año desde la fecha de emisión del Certificado de Recepción.</w:t>
      </w:r>
    </w:p>
    <w:p>
      <w:pPr>
        <w:jc w:val="both"/>
        <w:rPr>
          <w:iCs/>
          <w:sz w:val="22"/>
          <w:szCs w:val="22"/>
          <w:lang w:val="es-ES"/>
        </w:rPr>
      </w:pPr>
    </w:p>
    <w:p>
      <w:pPr>
        <w:jc w:val="both"/>
        <w:rPr>
          <w:iCs/>
          <w:sz w:val="22"/>
          <w:szCs w:val="22"/>
          <w:lang w:val="es-ES"/>
        </w:rPr>
      </w:pPr>
      <w:r>
        <w:rPr>
          <w:sz w:val="22"/>
          <w:szCs w:val="22"/>
          <w:lang w:val="es-ES"/>
        </w:rPr>
        <w:t>Esta Fianza no crea ningún derecho de acción o de uso para otras personas o firmas que no sean el Comprador definido en el presente documento, o sus herederos, albaceas, administradores, sucesores y cesionarios.</w:t>
      </w:r>
    </w:p>
    <w:p>
      <w:pPr>
        <w:jc w:val="both"/>
        <w:rPr>
          <w:iCs/>
          <w:sz w:val="22"/>
          <w:szCs w:val="22"/>
          <w:lang w:val="es-ES"/>
        </w:rPr>
      </w:pPr>
    </w:p>
    <w:p>
      <w:pPr>
        <w:tabs>
          <w:tab w:val="left" w:pos="5400"/>
          <w:tab w:val="left" w:pos="8280"/>
          <w:tab w:val="left" w:pos="9000"/>
        </w:tabs>
        <w:jc w:val="both"/>
        <w:rPr>
          <w:iCs/>
          <w:sz w:val="22"/>
          <w:szCs w:val="22"/>
          <w:lang w:val="es-ES"/>
        </w:rPr>
      </w:pPr>
      <w:r>
        <w:rPr>
          <w:sz w:val="22"/>
          <w:szCs w:val="22"/>
          <w:lang w:val="es-ES"/>
        </w:rPr>
        <w:lastRenderedPageBreak/>
        <w:t xml:space="preserve">En prueba de conformidad, el Proveedor firma y sella la presente Fianza y el Garante estampa su sello debidamente certificado con la firma de su representante legal, a los _______ días del mes de </w:t>
      </w:r>
      <w:r>
        <w:rPr>
          <w:iCs/>
          <w:sz w:val="22"/>
          <w:szCs w:val="22"/>
          <w:u w:val="single"/>
          <w:lang w:val="es-ES"/>
        </w:rPr>
        <w:tab/>
      </w:r>
      <w:r>
        <w:rPr>
          <w:sz w:val="22"/>
          <w:szCs w:val="22"/>
          <w:lang w:val="es-ES"/>
        </w:rPr>
        <w:t xml:space="preserve"> de 20____.</w:t>
      </w:r>
    </w:p>
    <w:p>
      <w:pPr>
        <w:rPr>
          <w:iCs/>
          <w:sz w:val="22"/>
          <w:szCs w:val="22"/>
          <w:lang w:val="es-ES"/>
        </w:rPr>
      </w:pPr>
    </w:p>
    <w:p>
      <w:pPr>
        <w:tabs>
          <w:tab w:val="left" w:pos="3600"/>
          <w:tab w:val="left" w:pos="9000"/>
        </w:tabs>
        <w:rPr>
          <w:iCs/>
          <w:sz w:val="22"/>
          <w:szCs w:val="22"/>
          <w:lang w:val="es-ES"/>
        </w:rPr>
      </w:pPr>
    </w:p>
    <w:p>
      <w:pPr>
        <w:tabs>
          <w:tab w:val="left" w:pos="3600"/>
          <w:tab w:val="left" w:pos="9000"/>
        </w:tabs>
        <w:rPr>
          <w:iCs/>
          <w:sz w:val="22"/>
          <w:szCs w:val="22"/>
          <w:lang w:val="es-ES"/>
        </w:rPr>
      </w:pPr>
      <w:r>
        <w:rPr>
          <w:sz w:val="22"/>
          <w:szCs w:val="22"/>
          <w:lang w:val="es-ES"/>
        </w:rPr>
        <w:t>FIRMADO EL</w:t>
      </w:r>
      <w:r>
        <w:rPr>
          <w:iCs/>
          <w:sz w:val="22"/>
          <w:szCs w:val="22"/>
          <w:u w:val="single"/>
          <w:lang w:val="es-ES"/>
        </w:rPr>
        <w:tab/>
      </w:r>
      <w:r>
        <w:rPr>
          <w:sz w:val="22"/>
          <w:szCs w:val="22"/>
          <w:lang w:val="es-ES"/>
        </w:rPr>
        <w:t xml:space="preserve"> en nombre de </w:t>
      </w:r>
      <w:r>
        <w:rPr>
          <w:iCs/>
          <w:sz w:val="22"/>
          <w:szCs w:val="22"/>
          <w:u w:val="single"/>
          <w:lang w:val="es-ES"/>
        </w:rPr>
        <w:tab/>
      </w:r>
    </w:p>
    <w:p>
      <w:pPr>
        <w:rPr>
          <w:iCs/>
          <w:sz w:val="22"/>
          <w:szCs w:val="22"/>
          <w:lang w:val="es-ES"/>
        </w:rPr>
      </w:pPr>
    </w:p>
    <w:p>
      <w:pPr>
        <w:rPr>
          <w:iCs/>
          <w:sz w:val="22"/>
          <w:szCs w:val="22"/>
          <w:lang w:val="es-ES"/>
        </w:rPr>
      </w:pPr>
    </w:p>
    <w:p>
      <w:pPr>
        <w:tabs>
          <w:tab w:val="left" w:pos="3960"/>
          <w:tab w:val="left" w:pos="9000"/>
        </w:tabs>
        <w:rPr>
          <w:iCs/>
          <w:sz w:val="22"/>
          <w:szCs w:val="22"/>
          <w:lang w:val="es-ES"/>
        </w:rPr>
      </w:pPr>
      <w:r>
        <w:rPr>
          <w:sz w:val="22"/>
          <w:szCs w:val="22"/>
          <w:lang w:val="es-ES"/>
        </w:rPr>
        <w:t xml:space="preserve">Por </w:t>
      </w:r>
      <w:r>
        <w:rPr>
          <w:iCs/>
          <w:sz w:val="22"/>
          <w:szCs w:val="22"/>
          <w:u w:val="single"/>
          <w:lang w:val="es-ES"/>
        </w:rPr>
        <w:tab/>
      </w:r>
      <w:r>
        <w:rPr>
          <w:sz w:val="22"/>
          <w:szCs w:val="22"/>
          <w:lang w:val="es-ES"/>
        </w:rPr>
        <w:t xml:space="preserve"> en carácter de </w:t>
      </w:r>
      <w:r>
        <w:rPr>
          <w:iCs/>
          <w:sz w:val="22"/>
          <w:szCs w:val="22"/>
          <w:u w:val="single"/>
          <w:lang w:val="es-ES"/>
        </w:rPr>
        <w:tab/>
      </w:r>
    </w:p>
    <w:p>
      <w:pPr>
        <w:rPr>
          <w:iCs/>
          <w:sz w:val="22"/>
          <w:szCs w:val="22"/>
          <w:lang w:val="es-ES"/>
        </w:rPr>
      </w:pPr>
    </w:p>
    <w:p>
      <w:pPr>
        <w:rPr>
          <w:iCs/>
          <w:sz w:val="22"/>
          <w:szCs w:val="22"/>
          <w:lang w:val="es-ES"/>
        </w:rPr>
      </w:pPr>
    </w:p>
    <w:p>
      <w:pPr>
        <w:tabs>
          <w:tab w:val="left" w:pos="9000"/>
        </w:tabs>
        <w:rPr>
          <w:iCs/>
          <w:sz w:val="22"/>
          <w:szCs w:val="22"/>
          <w:lang w:val="es-ES"/>
        </w:rPr>
      </w:pPr>
      <w:r>
        <w:rPr>
          <w:sz w:val="22"/>
          <w:szCs w:val="22"/>
          <w:lang w:val="es-ES"/>
        </w:rPr>
        <w:t xml:space="preserve">En presencia de </w:t>
      </w:r>
      <w:r>
        <w:rPr>
          <w:iCs/>
          <w:sz w:val="22"/>
          <w:szCs w:val="22"/>
          <w:u w:val="single"/>
          <w:lang w:val="es-ES"/>
        </w:rPr>
        <w:tab/>
      </w:r>
    </w:p>
    <w:p>
      <w:pPr>
        <w:rPr>
          <w:iCs/>
          <w:sz w:val="22"/>
          <w:szCs w:val="22"/>
          <w:lang w:val="es-ES"/>
        </w:rPr>
      </w:pPr>
    </w:p>
    <w:p>
      <w:pPr>
        <w:rPr>
          <w:iCs/>
          <w:sz w:val="22"/>
          <w:szCs w:val="22"/>
          <w:lang w:val="es-ES"/>
        </w:rPr>
      </w:pPr>
    </w:p>
    <w:p>
      <w:pPr>
        <w:rPr>
          <w:iCs/>
          <w:sz w:val="22"/>
          <w:szCs w:val="22"/>
          <w:lang w:val="es-ES"/>
        </w:rPr>
      </w:pPr>
    </w:p>
    <w:p>
      <w:pPr>
        <w:tabs>
          <w:tab w:val="left" w:pos="3600"/>
          <w:tab w:val="left" w:pos="9000"/>
        </w:tabs>
        <w:rPr>
          <w:iCs/>
          <w:sz w:val="22"/>
          <w:szCs w:val="22"/>
          <w:lang w:val="es-ES"/>
        </w:rPr>
      </w:pPr>
      <w:r>
        <w:rPr>
          <w:sz w:val="22"/>
          <w:szCs w:val="22"/>
          <w:lang w:val="es-ES"/>
        </w:rPr>
        <w:t>FIRMADO EL</w:t>
      </w:r>
      <w:r>
        <w:rPr>
          <w:iCs/>
          <w:sz w:val="22"/>
          <w:szCs w:val="22"/>
          <w:u w:val="single"/>
          <w:lang w:val="es-ES"/>
        </w:rPr>
        <w:tab/>
      </w:r>
      <w:r>
        <w:rPr>
          <w:sz w:val="22"/>
          <w:szCs w:val="22"/>
          <w:lang w:val="es-ES"/>
        </w:rPr>
        <w:t xml:space="preserve"> en nombre de </w:t>
      </w:r>
      <w:r>
        <w:rPr>
          <w:iCs/>
          <w:sz w:val="22"/>
          <w:szCs w:val="22"/>
          <w:u w:val="single"/>
          <w:lang w:val="es-ES"/>
        </w:rPr>
        <w:tab/>
      </w:r>
    </w:p>
    <w:p>
      <w:pPr>
        <w:rPr>
          <w:iCs/>
          <w:sz w:val="22"/>
          <w:szCs w:val="22"/>
          <w:lang w:val="es-ES"/>
        </w:rPr>
      </w:pPr>
    </w:p>
    <w:p>
      <w:pPr>
        <w:rPr>
          <w:iCs/>
          <w:sz w:val="22"/>
          <w:szCs w:val="22"/>
          <w:lang w:val="es-ES"/>
        </w:rPr>
      </w:pPr>
    </w:p>
    <w:p>
      <w:pPr>
        <w:tabs>
          <w:tab w:val="left" w:pos="3960"/>
          <w:tab w:val="left" w:pos="9000"/>
        </w:tabs>
        <w:rPr>
          <w:iCs/>
          <w:sz w:val="22"/>
          <w:szCs w:val="22"/>
          <w:lang w:val="es-ES"/>
        </w:rPr>
      </w:pPr>
      <w:r>
        <w:rPr>
          <w:sz w:val="22"/>
          <w:szCs w:val="22"/>
          <w:lang w:val="es-ES"/>
        </w:rPr>
        <w:t xml:space="preserve">Por </w:t>
      </w:r>
      <w:r>
        <w:rPr>
          <w:iCs/>
          <w:sz w:val="22"/>
          <w:szCs w:val="22"/>
          <w:u w:val="single"/>
          <w:lang w:val="es-ES"/>
        </w:rPr>
        <w:tab/>
      </w:r>
      <w:r>
        <w:rPr>
          <w:sz w:val="22"/>
          <w:szCs w:val="22"/>
          <w:lang w:val="es-ES"/>
        </w:rPr>
        <w:t xml:space="preserve"> en carácter de </w:t>
      </w:r>
      <w:r>
        <w:rPr>
          <w:iCs/>
          <w:sz w:val="22"/>
          <w:szCs w:val="22"/>
          <w:u w:val="single"/>
          <w:lang w:val="es-ES"/>
        </w:rPr>
        <w:tab/>
      </w:r>
    </w:p>
    <w:p>
      <w:pPr>
        <w:rPr>
          <w:iCs/>
          <w:sz w:val="22"/>
          <w:szCs w:val="22"/>
          <w:lang w:val="es-ES"/>
        </w:rPr>
      </w:pPr>
    </w:p>
    <w:p>
      <w:pPr>
        <w:tabs>
          <w:tab w:val="left" w:pos="9000"/>
        </w:tabs>
        <w:rPr>
          <w:iCs/>
          <w:sz w:val="22"/>
          <w:szCs w:val="22"/>
          <w:lang w:val="es-ES"/>
        </w:rPr>
      </w:pPr>
      <w:r>
        <w:rPr>
          <w:sz w:val="22"/>
          <w:szCs w:val="22"/>
          <w:lang w:val="es-ES"/>
        </w:rPr>
        <w:t xml:space="preserve">En presencia de </w:t>
      </w:r>
      <w:r>
        <w:rPr>
          <w:iCs/>
          <w:sz w:val="22"/>
          <w:szCs w:val="22"/>
          <w:u w:val="single"/>
          <w:lang w:val="es-ES"/>
        </w:rPr>
        <w:tab/>
      </w:r>
      <w:bookmarkStart w:id="849" w:name="_GoBack"/>
      <w:bookmarkEnd w:id="849"/>
    </w:p>
    <w:sectPr>
      <w:headerReference w:type="even" r:id="rId51"/>
      <w:headerReference w:type="default" r:id="rId52"/>
      <w:footnotePr>
        <w:numRestart w:val="eachSect"/>
      </w:footnotePr>
      <w:pgSz w:w="11906" w:h="16838" w:code="9"/>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ourier">
    <w:panose1 w:val="02070409020205020404"/>
    <w:charset w:val="00"/>
    <w:family w:val="auto"/>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NotasPie"/>
        <w:rPr>
          <w:lang w:val="es-ES_tradnl" w:eastAsia="es-ES" w:bidi="es-ES"/>
        </w:rPr>
      </w:pPr>
      <w:r>
        <w:rPr>
          <w:rStyle w:val="Refdenotaalpie"/>
        </w:rPr>
        <w:footnoteRef/>
      </w:r>
      <w:r>
        <w:t xml:space="preserve"> </w:t>
      </w:r>
      <w:r>
        <w:rPr>
          <w:lang w:eastAsia="es-ES" w:bidi="es-ES"/>
        </w:rPr>
        <w:t>En tales casos el Banco debe encontrarse satisfecho con la funcionalidad de dicho sistema, según lo dispuesto en el párrafo 3.21 de las Políticas de Adquisiciones GN-2349-15</w:t>
      </w:r>
    </w:p>
    <w:p>
      <w:pPr>
        <w:pStyle w:val="Textonotapie"/>
        <w:rPr>
          <w:lang w:val="es-ES"/>
        </w:rPr>
      </w:pPr>
    </w:p>
  </w:footnote>
  <w:footnote w:id="3">
    <w:p>
      <w:pPr>
        <w:pStyle w:val="NotasPie"/>
        <w:rPr>
          <w:rFonts w:ascii="Calibri" w:hAnsi="Calibri"/>
        </w:rPr>
      </w:pPr>
      <w:r>
        <w:rPr>
          <w:rStyle w:val="Refdenotaalpie"/>
          <w:rFonts w:ascii="Calibri" w:hAnsi="Calibri"/>
          <w:lang w:val="es-ES_tradnl"/>
        </w:rPr>
        <w:footnoteRef/>
      </w:r>
      <w:r>
        <w:t xml:space="preserve"> En el sitio virtual del Banco (</w:t>
      </w:r>
      <w:r>
        <w:rPr>
          <w:rStyle w:val="Hipervnculo"/>
          <w:lang w:val="es-ES_tradnl"/>
        </w:rPr>
        <w:t>www.iadb.org/integridad</w:t>
      </w:r>
      <w: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pPr>
        <w:pStyle w:val="NotasPie"/>
        <w:rPr>
          <w:lang w:val="es-ES_tradnl"/>
        </w:rPr>
      </w:pPr>
      <w:r>
        <w:rPr>
          <w:rStyle w:val="Refdenotaalpie"/>
          <w:sz w:val="18"/>
          <w:szCs w:val="18"/>
        </w:rPr>
        <w:footnoteRef/>
      </w:r>
      <w:r>
        <w:rPr>
          <w:lang w:val="es-ES_tradnl"/>
        </w:rPr>
        <w:t xml:space="preserve"> Por control se entenderá </w:t>
      </w:r>
      <w: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5">
    <w:p>
      <w:pPr>
        <w:pStyle w:val="NotasPie"/>
      </w:pPr>
      <w:r>
        <w:rPr>
          <w:rStyle w:val="Refdenotaalpie"/>
        </w:rPr>
        <w:footnoteRef/>
      </w:r>
      <w:r>
        <w:t xml:space="preserve"> </w:t>
      </w:r>
      <w:r>
        <w:rPr>
          <w:lang w:val="es-ES_tradnl"/>
        </w:rPr>
        <w:t xml:space="preserve">Por </w:t>
      </w:r>
      <w:r>
        <w:t>relación estrecha se deberá entender que abarca hasta el cuarto grado de consanguinidad o por adopción, o hasta el segundo grado de unión por matrimonio o unión de pareja de hecho (afinidad).</w:t>
      </w:r>
    </w:p>
  </w:footnote>
  <w:footnote w:id="6">
    <w:p>
      <w:pPr>
        <w:pStyle w:val="Textonotapie"/>
        <w:rPr>
          <w:rFonts w:ascii="Century Gothic" w:hAnsi="Century Gothic"/>
          <w:lang w:val="es-ES"/>
        </w:rPr>
      </w:pPr>
      <w:r>
        <w:rPr>
          <w:rStyle w:val="Refdenotaalpie"/>
          <w:rFonts w:ascii="Century Gothic" w:hAnsi="Century Gothic"/>
        </w:rPr>
        <w:footnoteRef/>
      </w:r>
      <w:r>
        <w:rPr>
          <w:rFonts w:ascii="Century Gothic" w:hAnsi="Century Gothic"/>
        </w:rPr>
        <w:t xml:space="preserve"> </w:t>
      </w:r>
      <w:r>
        <w:rPr>
          <w:rFonts w:ascii="Century Gothic" w:hAnsi="Century Gothic"/>
          <w:sz w:val="16"/>
          <w:szCs w:val="16"/>
        </w:rPr>
        <w:t>Asociación en Participación, Consorcio o Asociación</w:t>
      </w:r>
    </w:p>
  </w:footnote>
  <w:footnote w:id="7">
    <w:p>
      <w:pPr>
        <w:pStyle w:val="Textonotapie"/>
        <w:rPr>
          <w:lang w:val="es-ES"/>
        </w:rPr>
      </w:pPr>
      <w:r>
        <w:rPr>
          <w:rStyle w:val="Refdenotaalpie"/>
          <w:rFonts w:ascii="Century Gothic" w:hAnsi="Century Gothic"/>
        </w:rPr>
        <w:footnoteRef/>
      </w:r>
      <w:r>
        <w:rPr>
          <w:rFonts w:ascii="Century Gothic" w:hAnsi="Century Gothic"/>
        </w:rPr>
        <w:t xml:space="preserve"> </w:t>
      </w:r>
      <w:r>
        <w:rPr>
          <w:rFonts w:ascii="Century Gothic" w:hAnsi="Century Gothic"/>
          <w:sz w:val="16"/>
          <w:szCs w:val="16"/>
        </w:rPr>
        <w:t>Asociación en Participación, Consorcio o Asociación</w:t>
      </w:r>
    </w:p>
  </w:footnote>
  <w:footnote w:id="8">
    <w:p>
      <w:pPr>
        <w:pStyle w:val="Textonotapie"/>
        <w:rPr>
          <w:sz w:val="16"/>
          <w:szCs w:val="16"/>
        </w:rPr>
      </w:pPr>
      <w:r>
        <w:rPr>
          <w:rStyle w:val="Refdenotaalpie"/>
          <w:sz w:val="16"/>
          <w:szCs w:val="16"/>
        </w:rPr>
        <w:footnoteRef/>
      </w:r>
      <w:r>
        <w:rPr>
          <w:sz w:val="16"/>
          <w:szCs w:val="16"/>
        </w:rPr>
        <w:t xml:space="preserve"> Asociación en Participación, Consorcio o Asociación</w:t>
      </w:r>
    </w:p>
  </w:footnote>
  <w:footnote w:id="9">
    <w:p>
      <w:pPr>
        <w:pStyle w:val="Textonotapie"/>
        <w:rPr>
          <w:sz w:val="16"/>
          <w:szCs w:val="16"/>
        </w:rPr>
      </w:pPr>
      <w:r>
        <w:rPr>
          <w:rStyle w:val="Refdenotaalpie"/>
          <w:sz w:val="16"/>
          <w:szCs w:val="16"/>
        </w:rPr>
        <w:footnoteRef/>
      </w:r>
      <w:r>
        <w:rPr>
          <w:sz w:val="16"/>
          <w:szCs w:val="16"/>
        </w:rPr>
        <w:t xml:space="preserve"> Asociación en Participación, Consorcio o Asociación</w:t>
      </w:r>
    </w:p>
  </w:footnote>
  <w:footnote w:id="10">
    <w:p>
      <w:pPr>
        <w:jc w:val="both"/>
        <w:rPr>
          <w:rFonts w:ascii="Century Gothic" w:hAnsi="Century Gothic"/>
          <w:sz w:val="16"/>
          <w:szCs w:val="16"/>
          <w:lang w:val="es-AR"/>
        </w:rPr>
      </w:pPr>
      <w:r>
        <w:rPr>
          <w:rStyle w:val="Refdenotaalpie"/>
          <w:rFonts w:ascii="Century Gothic" w:hAnsi="Century Gothic"/>
          <w:sz w:val="16"/>
          <w:szCs w:val="16"/>
        </w:rPr>
        <w:footnoteRef/>
      </w:r>
      <w:r>
        <w:rPr>
          <w:rFonts w:ascii="Century Gothic" w:hAnsi="Century Gothic"/>
          <w:sz w:val="16"/>
          <w:szCs w:val="16"/>
        </w:rPr>
        <w:t xml:space="preserve"> </w:t>
      </w:r>
      <w:r>
        <w:rPr>
          <w:rFonts w:ascii="Century Gothic" w:hAnsi="Century Gothic"/>
          <w:sz w:val="16"/>
          <w:szCs w:val="16"/>
          <w:lang w:val="es-AR"/>
        </w:rPr>
        <w:t>La cantidad debe ser igual a la indicada en la Lista de Bienes y Servicios.</w:t>
      </w:r>
    </w:p>
  </w:footnote>
  <w:footnote w:id="11">
    <w:p>
      <w:pPr>
        <w:pStyle w:val="Textonotapie"/>
        <w:jc w:val="both"/>
        <w:rPr>
          <w:rFonts w:ascii="Century Gothic" w:hAnsi="Century Gothic"/>
        </w:rPr>
      </w:pPr>
      <w:r>
        <w:rPr>
          <w:rStyle w:val="Refdenotaalpie"/>
          <w:rFonts w:ascii="Century Gothic" w:hAnsi="Century Gothic"/>
          <w:sz w:val="16"/>
          <w:szCs w:val="16"/>
        </w:rPr>
        <w:footnoteRef/>
      </w:r>
      <w:r>
        <w:rPr>
          <w:rFonts w:ascii="Century Gothic" w:hAnsi="Century Gothic"/>
          <w:sz w:val="16"/>
          <w:szCs w:val="16"/>
        </w:rPr>
        <w:t xml:space="preserve"> El Contratante deberá identificar todo lo que el pecio contendrá, ejemplo: </w:t>
      </w:r>
      <w:r>
        <w:rPr>
          <w:rFonts w:ascii="Century Gothic" w:hAnsi="Century Gothic"/>
          <w:bCs/>
          <w:i/>
          <w:iCs/>
          <w:sz w:val="16"/>
          <w:szCs w:val="16"/>
          <w:lang w:val="es-AR"/>
        </w:rPr>
        <w:t>E</w:t>
      </w:r>
      <w:r>
        <w:rPr>
          <w:rFonts w:ascii="Century Gothic" w:hAnsi="Century Gothic"/>
          <w:i/>
          <w:iCs/>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12">
    <w:p>
      <w:pPr>
        <w:pStyle w:val="NotasPie"/>
      </w:pPr>
      <w:r>
        <w:rPr>
          <w:rStyle w:val="Refdenotaalpie"/>
        </w:rPr>
        <w:footnoteRef/>
      </w:r>
      <w:r>
        <w:tab/>
        <w:t>El monto de la Fianza debe expresarse en la moneda del País del Comprador o en una moneda internacional de libre convertibilidad.</w:t>
      </w:r>
    </w:p>
  </w:footnote>
  <w:footnote w:id="13">
    <w:p>
      <w:pPr>
        <w:pStyle w:val="NotasPie"/>
        <w:rPr>
          <w:rFonts w:ascii="Calibri" w:hAnsi="Calibri"/>
        </w:rPr>
      </w:pPr>
      <w:r>
        <w:rPr>
          <w:rStyle w:val="Refdenotaalpie"/>
          <w:rFonts w:ascii="Calibri" w:hAnsi="Calibri"/>
        </w:rPr>
        <w:footnoteRef/>
      </w:r>
      <w:r>
        <w:t xml:space="preserve"> </w:t>
      </w:r>
      <w:r>
        <w:rPr>
          <w:rStyle w:val="NotasPieCar"/>
        </w:rPr>
        <w:t>En el sitio virtual del Banco (www.iadb.org/integridad)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14">
    <w:p>
      <w:pPr>
        <w:pStyle w:val="NotasPie"/>
      </w:pPr>
      <w:r>
        <w:rPr>
          <w:rStyle w:val="Refdenotaalpie"/>
          <w:i/>
          <w:iCs/>
        </w:rPr>
        <w:t>1</w:t>
      </w:r>
      <w: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15">
    <w:p>
      <w:pPr>
        <w:pStyle w:val="NotasPie"/>
      </w:pPr>
      <w:r>
        <w:rPr>
          <w:rStyle w:val="Refdenotaalpie"/>
          <w:i/>
          <w:iCs/>
        </w:rPr>
        <w:t>2</w:t>
      </w:r>
      <w:r>
        <w:tab/>
        <w:t>Consigne una fecha 28 días posteriores a la fecha prevista para la finalización</w:t>
      </w:r>
      <w:r>
        <w:rPr>
          <w:sz w:val="24"/>
        </w:rPr>
        <w:t>,</w:t>
      </w:r>
      <w: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6">
    <w:p>
      <w:pPr>
        <w:pStyle w:val="NotasPie"/>
      </w:pPr>
      <w:r>
        <w:rPr>
          <w:rStyle w:val="Refdenotaalpie"/>
        </w:rPr>
        <w:t>1</w:t>
      </w:r>
      <w:r>
        <w:tab/>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Sección1 - Instrucciones a los Oferentes</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rPr>
        <w:lang w:val="es-AR"/>
      </w:rPr>
    </w:pPr>
    <w:r>
      <w:rPr>
        <w:rStyle w:val="Nmerodepgina"/>
        <w:rFonts w:ascii="Century Gothic" w:hAnsi="Century Gothic" w:cs="Arial"/>
        <w:lang w:val="es-AR"/>
      </w:rPr>
      <w:t xml:space="preserve">Sección III. Criterios de Evaluación y Calificación                                                                                 </w:t>
    </w:r>
    <w:r>
      <w:rPr>
        <w:rStyle w:val="Nmerodepgina"/>
        <w:rFonts w:cs="Arial"/>
        <w:noProof/>
      </w:rPr>
      <w:fldChar w:fldCharType="begin"/>
    </w:r>
    <w:r>
      <w:rPr>
        <w:rStyle w:val="Nmerodepgina"/>
        <w:rFonts w:cs="Arial"/>
        <w:noProof/>
        <w:lang w:val="es-AR"/>
      </w:rPr>
      <w:instrText xml:space="preserve"> PAGE </w:instrText>
    </w:r>
    <w:r>
      <w:rPr>
        <w:rStyle w:val="Nmerodepgina"/>
        <w:rFonts w:cs="Arial"/>
        <w:noProof/>
      </w:rPr>
      <w:fldChar w:fldCharType="separate"/>
    </w:r>
    <w:r>
      <w:rPr>
        <w:rStyle w:val="Nmerodepgina"/>
        <w:rFonts w:cs="Arial"/>
        <w:noProof/>
        <w:lang w:val="es-AR"/>
      </w:rPr>
      <w:t>42</w:t>
    </w:r>
    <w:r>
      <w:rPr>
        <w:rStyle w:val="Nmerodepgina"/>
        <w:rFonts w:cs="Arial"/>
        <w:noProof/>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rPr>
        <w:lang w:val="es-AR"/>
      </w:rPr>
    </w:pPr>
    <w:r>
      <w:rPr>
        <w:rFonts w:ascii="Century Gothic" w:hAnsi="Century Gothic"/>
        <w:lang w:val="es-AR"/>
      </w:rPr>
      <w:t>Sección I</w:t>
    </w:r>
    <w:r>
      <w:rPr>
        <w:rStyle w:val="EncabezadoCar"/>
        <w:rFonts w:ascii="Century Gothic" w:hAnsi="Century Gothic"/>
        <w:lang w:val="es-AR"/>
      </w:rPr>
      <w:t>V. Países Elegibles</w:t>
    </w:r>
    <w:r>
      <w:rPr>
        <w:rStyle w:val="Nmerodepgina"/>
        <w:rFonts w:ascii="Century Gothic" w:hAnsi="Century Gothic" w:cs="Arial"/>
        <w:lang w:val="es-AR"/>
      </w:rPr>
      <w:t xml:space="preserve">                                                                                                                       </w:t>
    </w:r>
    <w:r>
      <w:rPr>
        <w:rStyle w:val="Nmerodepgina"/>
        <w:rFonts w:cs="Arial"/>
        <w:noProof/>
      </w:rPr>
      <w:fldChar w:fldCharType="begin"/>
    </w:r>
    <w:r>
      <w:rPr>
        <w:rStyle w:val="Nmerodepgina"/>
        <w:rFonts w:cs="Arial"/>
        <w:noProof/>
        <w:lang w:val="es-AR"/>
      </w:rPr>
      <w:instrText xml:space="preserve"> PAGE </w:instrText>
    </w:r>
    <w:r>
      <w:rPr>
        <w:rStyle w:val="Nmerodepgina"/>
        <w:rFonts w:cs="Arial"/>
        <w:noProof/>
      </w:rPr>
      <w:fldChar w:fldCharType="separate"/>
    </w:r>
    <w:r>
      <w:rPr>
        <w:rStyle w:val="Nmerodepgina"/>
        <w:rFonts w:cs="Arial"/>
        <w:noProof/>
        <w:lang w:val="es-AR"/>
      </w:rPr>
      <w:t>44</w:t>
    </w:r>
    <w:r>
      <w:rPr>
        <w:rStyle w:val="Nmerodepgina"/>
        <w:rFonts w:cs="Arial"/>
        <w:noProof/>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51</w:t>
    </w:r>
    <w:r>
      <w:rPr>
        <w:rStyle w:val="Nmerodepgina"/>
        <w:lang w:val="es-ES"/>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45</w:t>
    </w:r>
    <w:r>
      <w:rPr>
        <w:rStyle w:val="Nmerodepgina"/>
        <w:lang w:val="es-ES"/>
      </w:rPr>
      <w:fldChar w:fldCharType="end"/>
    </w:r>
  </w:p>
  <w:p>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58</w:t>
    </w:r>
    <w:r>
      <w:rPr>
        <w:rStyle w:val="Nmerodepgina"/>
        <w:lang w:val="es-ES"/>
      </w:rPr>
      <w:fldChar w:fldCharType="end"/>
    </w:r>
  </w:p>
  <w:p>
    <w:pPr>
      <w:rPr>
        <w:lang w:val="es-ES"/>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pPr>
    <w:r>
      <w:tab/>
    </w:r>
    <w:r>
      <w:rPr>
        <w:rStyle w:val="Nmerodepgina"/>
        <w:rFonts w:cs="Arial"/>
        <w:noProof/>
      </w:rPr>
      <w:fldChar w:fldCharType="begin"/>
    </w:r>
    <w:r>
      <w:rPr>
        <w:rStyle w:val="Nmerodepgina"/>
        <w:rFonts w:cs="Arial"/>
        <w:noProof/>
      </w:rPr>
      <w:instrText xml:space="preserve"> PAGE </w:instrText>
    </w:r>
    <w:r>
      <w:rPr>
        <w:rStyle w:val="Nmerodepgina"/>
        <w:rFonts w:cs="Arial"/>
        <w:noProof/>
      </w:rPr>
      <w:fldChar w:fldCharType="separate"/>
    </w:r>
    <w:r>
      <w:rPr>
        <w:rStyle w:val="Nmerodepgina"/>
        <w:rFonts w:cs="Arial"/>
        <w:noProof/>
      </w:rPr>
      <w:t>ii</w:t>
    </w:r>
    <w:r>
      <w:rPr>
        <w:rStyle w:val="Nmerodepgina"/>
        <w:rFonts w:cs="Arial"/>
        <w:noProof/>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1"/>
      <w:pBdr>
        <w:bottom w:val="single" w:sz="4" w:space="1" w:color="auto"/>
      </w:pBdr>
      <w:tabs>
        <w:tab w:val="right" w:pos="9360"/>
        <w:tab w:val="right" w:pos="12960"/>
      </w:tabs>
      <w:spacing w:before="0" w:after="0"/>
      <w:jc w:val="left"/>
      <w:rPr>
        <w:b w:val="0"/>
        <w:bCs w:val="0"/>
        <w:spacing w:val="-2"/>
        <w:sz w:val="20"/>
        <w:szCs w:val="20"/>
        <w:lang w:val="es-AR"/>
      </w:rPr>
    </w:pPr>
    <w:r>
      <w:rPr>
        <w:rStyle w:val="Nmerodepgina"/>
        <w:b w:val="0"/>
        <w:bCs w:val="0"/>
        <w:spacing w:val="-2"/>
        <w:szCs w:val="20"/>
        <w:lang w:val="es-AR"/>
      </w:rPr>
      <w:t>1-</w:t>
    </w:r>
    <w:r>
      <w:rPr>
        <w:rStyle w:val="Nmerodepgina"/>
        <w:b w:val="0"/>
        <w:bCs w:val="0"/>
        <w:spacing w:val="-2"/>
        <w:szCs w:val="20"/>
      </w:rPr>
      <w:fldChar w:fldCharType="begin"/>
    </w:r>
    <w:r>
      <w:rPr>
        <w:rStyle w:val="Nmerodepgina"/>
        <w:b w:val="0"/>
        <w:bCs w:val="0"/>
        <w:spacing w:val="-2"/>
        <w:szCs w:val="20"/>
        <w:lang w:val="es-AR"/>
      </w:rPr>
      <w:instrText xml:space="preserve"> PAGE </w:instrText>
    </w:r>
    <w:r>
      <w:rPr>
        <w:rStyle w:val="Nmerodepgina"/>
        <w:b w:val="0"/>
        <w:bCs w:val="0"/>
        <w:spacing w:val="-2"/>
        <w:szCs w:val="20"/>
      </w:rPr>
      <w:fldChar w:fldCharType="separate"/>
    </w:r>
    <w:r>
      <w:rPr>
        <w:rStyle w:val="Nmerodepgina"/>
        <w:b w:val="0"/>
        <w:bCs w:val="0"/>
        <w:noProof/>
        <w:spacing w:val="-2"/>
        <w:szCs w:val="20"/>
        <w:lang w:val="es-AR"/>
      </w:rPr>
      <w:t>82</w:t>
    </w:r>
    <w:r>
      <w:rPr>
        <w:rStyle w:val="Nmerodepgina"/>
        <w:b w:val="0"/>
        <w:bCs w:val="0"/>
        <w:spacing w:val="-2"/>
        <w:szCs w:val="20"/>
      </w:rPr>
      <w:fldChar w:fldCharType="end"/>
    </w:r>
    <w:r>
      <w:rPr>
        <w:rStyle w:val="Nmerodepgina"/>
        <w:b w:val="0"/>
        <w:bCs w:val="0"/>
        <w:spacing w:val="-2"/>
        <w:szCs w:val="20"/>
        <w:lang w:val="es-AR"/>
      </w:rPr>
      <w:tab/>
    </w:r>
    <w:r>
      <w:rPr>
        <w:rStyle w:val="EncabezadoCar"/>
        <w:rFonts w:ascii="Times New Roman" w:hAnsi="Times New Roman"/>
        <w:b w:val="0"/>
        <w:sz w:val="20"/>
        <w:szCs w:val="20"/>
        <w:lang w:val="es-AR"/>
      </w:rPr>
      <w:t>Sección IV. Formularios de Licitación</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pPr>
      <w:rPr>
        <w:lang w:val="es-ES"/>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Fonts w:ascii="Century Gothic" w:hAnsi="Century Gothic"/>
        <w:lang w:val="es-ES"/>
      </w:rPr>
      <w:t>Sección VI.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60</w:t>
    </w:r>
    <w:r>
      <w:rPr>
        <w:rStyle w:val="Nmerodepgina"/>
        <w:lang w:val="es-ES"/>
      </w:rPr>
      <w:fldChar w:fldCharType="end"/>
    </w:r>
  </w:p>
  <w:p>
    <w:pPr>
      <w:rPr>
        <w:lang w:val="es-ES"/>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rPr>
        <w:rFonts w:ascii="Times New Roman" w:hAnsi="Times New Roman"/>
        <w:lang w:val="es-ES"/>
      </w:rPr>
    </w:pPr>
    <w:r>
      <w:rPr>
        <w:rFonts w:ascii="Times New Roman" w:hAnsi="Times New Roman"/>
        <w:lang w:val="es-ES"/>
      </w:rPr>
      <w:t xml:space="preserve">Sección VI. Requisitos de los Bienes y Servicios Conexos </w:t>
    </w:r>
    <w:r>
      <w:rPr>
        <w:rFonts w:ascii="Times New Roman" w:hAnsi="Times New Roman"/>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pPr>
      <w:rPr>
        <w:lang w:val="es-ES"/>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009597046"/>
      <w:docPartObj>
        <w:docPartGallery w:val="Page Numbers (Top of Page)"/>
        <w:docPartUnique/>
      </w:docPartObj>
    </w:sdtPr>
    <w:sdtContent>
      <w:p>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pPr>
      <w:rPr>
        <w:lang w:val="es-ES"/>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rPr>
        <w:rFonts w:ascii="Times New Roman" w:hAnsi="Times New Roman"/>
        <w:lang w:val="es-ES"/>
      </w:rPr>
    </w:pPr>
    <w:r>
      <w:rPr>
        <w:rFonts w:ascii="Century Gothic" w:hAnsi="Century Gothic"/>
        <w:lang w:val="es-ES"/>
      </w:rPr>
      <w:t>Sección VI. Requisitos de los Bienes y Servicios Conexos</w:t>
    </w:r>
    <w:r>
      <w:rPr>
        <w:rFonts w:ascii="Times New Roman" w:hAnsi="Times New Roman"/>
        <w:lang w:val="es-ES"/>
      </w:rPr>
      <w:t xml:space="preserve"> </w:t>
    </w:r>
    <w:r>
      <w:rPr>
        <w:rFonts w:ascii="Times New Roman" w:hAnsi="Times New Roman"/>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65</w:t>
    </w:r>
    <w:r>
      <w:rPr>
        <w:rStyle w:val="Nmerodepgina"/>
        <w:lang w:val="es-ES"/>
      </w:rPr>
      <w:fldChar w:fldCharType="end"/>
    </w:r>
  </w:p>
  <w:p>
    <w:pPr>
      <w:rPr>
        <w:lang w:val="es-ES"/>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pPr>
      <w:rPr>
        <w:lang w:val="es-ES"/>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extoindependiente"/>
      <w:spacing w:line="14" w:lineRule="auto"/>
    </w:pPr>
    <w:r>
      <w:rPr>
        <w:noProof/>
      </w:rPr>
      <w:drawing>
        <wp:anchor distT="0" distB="0" distL="0" distR="0" simplePos="0" relativeHeight="251659264" behindDoc="1" locked="0" layoutInCell="1" allowOverlap="1">
          <wp:simplePos x="0" y="0"/>
          <wp:positionH relativeFrom="page">
            <wp:posOffset>1083310</wp:posOffset>
          </wp:positionH>
          <wp:positionV relativeFrom="page">
            <wp:posOffset>204469</wp:posOffset>
          </wp:positionV>
          <wp:extent cx="1505077" cy="909954"/>
          <wp:effectExtent l="0" t="0" r="0" b="0"/>
          <wp:wrapNone/>
          <wp:docPr id="4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05077" cy="909954"/>
                  </a:xfrm>
                  <a:prstGeom prst="rect">
                    <a:avLst/>
                  </a:prstGeom>
                </pic:spPr>
              </pic:pic>
            </a:graphicData>
          </a:graphic>
        </wp:anchor>
      </w:drawing>
    </w:r>
    <w:r>
      <w:rPr>
        <w:noProof/>
      </w:rPr>
      <w:drawing>
        <wp:anchor distT="0" distB="0" distL="0" distR="0" simplePos="0" relativeHeight="251660288" behindDoc="1" locked="0" layoutInCell="1" allowOverlap="1">
          <wp:simplePos x="0" y="0"/>
          <wp:positionH relativeFrom="page">
            <wp:posOffset>5064759</wp:posOffset>
          </wp:positionH>
          <wp:positionV relativeFrom="page">
            <wp:posOffset>419734</wp:posOffset>
          </wp:positionV>
          <wp:extent cx="1561338" cy="621029"/>
          <wp:effectExtent l="0" t="0" r="0" b="0"/>
          <wp:wrapNone/>
          <wp:docPr id="4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61338" cy="621029"/>
                  </a:xfrm>
                  <a:prstGeom prst="rect">
                    <a:avLst/>
                  </a:prstGeom>
                </pic:spPr>
              </pic:pic>
            </a:graphicData>
          </a:graphic>
        </wp:anchor>
      </w:drawing>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AR"/>
      </w:rPr>
    </w:pPr>
    <w:r>
      <w:rPr>
        <w:rFonts w:ascii="Century Gothic" w:hAnsi="Century Gothic"/>
        <w:lang w:val="es-ES"/>
      </w:rPr>
      <w:t>Sección VI.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360"/>
      <w:jc w:val="left"/>
      <w:rPr>
        <w:rFonts w:ascii="Times New Roman" w:hAnsi="Times New Roman"/>
        <w:sz w:val="22"/>
        <w:szCs w:val="22"/>
        <w:lang w:val="es-ES_tradnl"/>
      </w:rPr>
    </w:pPr>
    <w:r>
      <w:rPr>
        <w:rFonts w:ascii="Century Gothic" w:hAnsi="Century Gothic"/>
        <w:lang w:val="es-ES_tradnl"/>
      </w:rPr>
      <w:t>Sección VII. Condiciones Generales del Contrato (CGC)</w:t>
    </w:r>
    <w:r>
      <w:rPr>
        <w:rFonts w:ascii="Times New Roman" w:hAnsi="Times New Roman"/>
        <w:sz w:val="22"/>
        <w:szCs w:val="22"/>
        <w:lang w:val="es-ES_tradnl"/>
      </w:rPr>
      <w:tab/>
    </w:r>
    <w:r>
      <w:rPr>
        <w:rStyle w:val="Nmerodepgina"/>
        <w:sz w:val="22"/>
        <w:szCs w:val="22"/>
      </w:rPr>
      <w:fldChar w:fldCharType="begin"/>
    </w:r>
    <w:r>
      <w:rPr>
        <w:rStyle w:val="Nmerodepgina"/>
        <w:sz w:val="22"/>
        <w:szCs w:val="22"/>
        <w:lang w:val="es-ES"/>
      </w:rPr>
      <w:instrText xml:space="preserve"> PAGE </w:instrText>
    </w:r>
    <w:r>
      <w:rPr>
        <w:rStyle w:val="Nmerodepgina"/>
        <w:sz w:val="22"/>
        <w:szCs w:val="22"/>
      </w:rPr>
      <w:fldChar w:fldCharType="separate"/>
    </w:r>
    <w:r>
      <w:rPr>
        <w:rStyle w:val="Nmerodepgina"/>
        <w:noProof/>
        <w:sz w:val="22"/>
        <w:szCs w:val="22"/>
        <w:lang w:val="es-ES"/>
      </w:rPr>
      <w:t>85</w:t>
    </w:r>
    <w:r>
      <w:rPr>
        <w:rStyle w:val="Nmerodepgina"/>
        <w:sz w:val="22"/>
        <w:szCs w:val="22"/>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rPr>
        <w:lang w:val="es-EC"/>
      </w:rPr>
    </w:pPr>
    <w:r>
      <w:rPr>
        <w:rStyle w:val="Nmerodepgina"/>
        <w:rFonts w:ascii="Candara" w:hAnsi="Candara"/>
        <w:lang w:val="es-EC"/>
      </w:rPr>
      <w:t>Documentos de Licitación – Solicitud de Cotización por Comparación de Precios – Bienes y Servicios</w:t>
    </w:r>
    <w:r>
      <w:rPr>
        <w:lang w:val="es-EC"/>
      </w:rPr>
      <w:tab/>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rPr>
        <w:lang w:val="es-ES"/>
      </w:rPr>
    </w:pPr>
    <w:r>
      <w:rPr>
        <w:rStyle w:val="Nmerodepgina"/>
        <w:rFonts w:ascii="Century Gothic" w:hAnsi="Century Gothic" w:cs="Arial"/>
        <w:lang w:val="es-ES"/>
      </w:rPr>
      <w:t xml:space="preserve">Sección IX. Formularios del Contrato                                                                                                 </w:t>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Pr>
        <w:rStyle w:val="Nmerodepgina"/>
        <w:rFonts w:cs="Arial"/>
        <w:noProof/>
        <w:lang w:val="es-ES"/>
      </w:rPr>
      <w:t>90</w:t>
    </w:r>
    <w:r>
      <w:rPr>
        <w:rStyle w:val="Nmerodepgina"/>
        <w:rFonts w:cs="Arial"/>
        <w:lang w:val="es-ES"/>
      </w:rPr>
      <w:fldChar w:fldCharType="end"/>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pPr>
      <w:pStyle w:val="Encabezado"/>
      <w:rPr>
        <w:lang w:val="es-ES"/>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6" w:space="1" w:color="auto"/>
      </w:pBdr>
      <w:ind w:right="-18"/>
      <w:rPr>
        <w:rStyle w:val="Nmerodepgina"/>
        <w:lang w:val="es-ES"/>
      </w:rPr>
    </w:pPr>
    <w:r>
      <w:rPr>
        <w:rFonts w:ascii="Century Gothic" w:hAnsi="Century Gothic"/>
        <w:lang w:val="es-ES"/>
      </w:rPr>
      <w:t>Invitación a Comparación de Precios</w:t>
    </w:r>
    <w:r>
      <w:rPr>
        <w:rStyle w:val="Nmerodepgina"/>
        <w:lang w:val="es-ES"/>
      </w:rPr>
      <w:tab/>
    </w: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101</w:t>
    </w:r>
    <w:r>
      <w:rPr>
        <w:rStyle w:val="Nmerodepgina"/>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framePr w:wrap="none" w:vAnchor="text" w:hAnchor="margin" w:xAlign="right" w:y="1"/>
      <w:rPr>
        <w:rStyle w:val="Nmerodepgina"/>
        <w:lang w:val="es-ES"/>
      </w:rPr>
    </w:pPr>
    <w:r>
      <w:rPr>
        <w:rStyle w:val="Nmerodepgina"/>
      </w:rPr>
      <w:fldChar w:fldCharType="begin"/>
    </w:r>
    <w:r>
      <w:rPr>
        <w:rStyle w:val="Nmerodepgina"/>
        <w:lang w:val="es-ES"/>
      </w:rPr>
      <w:instrText xml:space="preserve">PAGE  </w:instrText>
    </w:r>
    <w:r>
      <w:rPr>
        <w:rStyle w:val="Nmerodepgina"/>
      </w:rPr>
      <w:fldChar w:fldCharType="separate"/>
    </w:r>
    <w:r>
      <w:rPr>
        <w:rStyle w:val="Nmerodepgina"/>
        <w:noProof/>
        <w:lang w:val="es-ES"/>
      </w:rPr>
      <w:t>8</w:t>
    </w:r>
    <w:r>
      <w:rPr>
        <w:rStyle w:val="Nmerodepgina"/>
      </w:rPr>
      <w:fldChar w:fldCharType="end"/>
    </w:r>
  </w:p>
  <w:p>
    <w:pPr>
      <w:pStyle w:val="Encabezado"/>
      <w:ind w:right="360"/>
      <w:rPr>
        <w:rStyle w:val="Nmerodepgina"/>
        <w:lang w:val="es-AR"/>
      </w:rPr>
    </w:pPr>
    <w:r>
      <w:rPr>
        <w:rStyle w:val="Nmerodepgina"/>
        <w:rFonts w:cs="Arial"/>
        <w:lang w:val="es-AR"/>
      </w:rPr>
      <w:t>1-</w:t>
    </w:r>
    <w:r>
      <w:rPr>
        <w:rStyle w:val="Nmerodepgina"/>
        <w:rFonts w:cs="Arial"/>
        <w:lang w:val="es-AR"/>
      </w:rPr>
      <w:tab/>
      <w:t xml:space="preserve">Sección I - Instrucciones para los Oferentes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rPr>
        <w:rStyle w:val="Nmerodepgina"/>
        <w:rFonts w:cs="Arial"/>
        <w:noProof/>
        <w:lang w:val="es-AR"/>
      </w:rPr>
    </w:pPr>
    <w:r>
      <w:rPr>
        <w:rStyle w:val="Nmerodepgina"/>
        <w:rFonts w:ascii="Century Gothic" w:hAnsi="Century Gothic" w:cs="Arial"/>
        <w:noProof/>
        <w:lang w:val="es-AR"/>
      </w:rPr>
      <w:t>Sección I. Instrucciones a los Oferentes (IAO)</w:t>
    </w:r>
    <w:r>
      <w:rPr>
        <w:rStyle w:val="Nmerodepgina"/>
        <w:rFonts w:cs="Arial"/>
        <w:noProof/>
        <w:lang w:val="es-AR"/>
      </w:rPr>
      <w:tab/>
    </w:r>
    <w:r>
      <w:rPr>
        <w:rStyle w:val="Nmerodepgina"/>
        <w:rFonts w:cs="Arial"/>
        <w:noProof/>
      </w:rPr>
      <w:fldChar w:fldCharType="begin"/>
    </w:r>
    <w:r>
      <w:rPr>
        <w:rStyle w:val="Nmerodepgina"/>
        <w:rFonts w:cs="Arial"/>
        <w:noProof/>
        <w:lang w:val="es-AR"/>
      </w:rPr>
      <w:instrText xml:space="preserve"> PAGE </w:instrText>
    </w:r>
    <w:r>
      <w:rPr>
        <w:rStyle w:val="Nmerodepgina"/>
        <w:rFonts w:cs="Arial"/>
        <w:noProof/>
      </w:rPr>
      <w:fldChar w:fldCharType="separate"/>
    </w:r>
    <w:r>
      <w:rPr>
        <w:rStyle w:val="Nmerodepgina"/>
        <w:rFonts w:cs="Arial"/>
        <w:noProof/>
        <w:lang w:val="es-AR"/>
      </w:rPr>
      <w:t>iii</w:t>
    </w:r>
    <w:r>
      <w:rPr>
        <w:rStyle w:val="Nmerodepgina"/>
        <w:rFonts w:cs="Arial"/>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rPr>
        <w:rFonts w:ascii="Century Gothic" w:hAnsi="Century Gothic"/>
        <w:lang w:val="es-EC"/>
      </w:rPr>
    </w:pPr>
    <w:r>
      <w:rPr>
        <w:rStyle w:val="Nmerodepgina"/>
        <w:rFonts w:ascii="Century Gothic" w:hAnsi="Century Gothic" w:cs="Arial"/>
        <w:noProof/>
        <w:lang w:val="es-AR"/>
      </w:rPr>
      <w:t>Sección I. Instrucciones a los Oferentes (IAO)</w:t>
    </w:r>
    <w:r>
      <w:rPr>
        <w:rFonts w:ascii="Century Gothic" w:hAnsi="Century Gothic"/>
        <w:lang w:val="es-EC"/>
      </w:rP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rPr>
        <w:rStyle w:val="Nmerodepgina"/>
        <w:rFonts w:cs="Arial"/>
        <w:noProof/>
        <w:lang w:val="es-AR"/>
      </w:rPr>
    </w:pPr>
    <w:r>
      <w:rPr>
        <w:rStyle w:val="Nmerodepgina"/>
        <w:rFonts w:ascii="Century Gothic" w:hAnsi="Century Gothic" w:cs="Arial"/>
        <w:noProof/>
        <w:lang w:val="es-AR"/>
      </w:rPr>
      <w:t>Sección I. Instrucciones a los Oferentes (IAO)</w:t>
    </w:r>
    <w:r>
      <w:rPr>
        <w:rStyle w:val="Nmerodepgina"/>
        <w:rFonts w:cs="Arial"/>
        <w:noProof/>
        <w:lang w:val="es-AR"/>
      </w:rPr>
      <w:tab/>
    </w:r>
    <w:r>
      <w:rPr>
        <w:rStyle w:val="Nmerodepgina"/>
        <w:rFonts w:cs="Arial"/>
        <w:noProof/>
      </w:rPr>
      <w:fldChar w:fldCharType="begin"/>
    </w:r>
    <w:r>
      <w:rPr>
        <w:rStyle w:val="Nmerodepgina"/>
        <w:rFonts w:cs="Arial"/>
        <w:noProof/>
        <w:lang w:val="es-AR"/>
      </w:rPr>
      <w:instrText xml:space="preserve"> PAGE </w:instrText>
    </w:r>
    <w:r>
      <w:rPr>
        <w:rStyle w:val="Nmerodepgina"/>
        <w:rFonts w:cs="Arial"/>
        <w:noProof/>
      </w:rPr>
      <w:fldChar w:fldCharType="separate"/>
    </w:r>
    <w:r>
      <w:rPr>
        <w:rStyle w:val="Nmerodepgina"/>
        <w:rFonts w:cs="Arial"/>
        <w:noProof/>
        <w:lang w:val="es-AR"/>
      </w:rPr>
      <w:t>32</w:t>
    </w:r>
    <w:r>
      <w:rPr>
        <w:rStyle w:val="Nmerodepgina"/>
        <w:rFonts w:cs="Arial"/>
        <w:noProof/>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tabs>
        <w:tab w:val="right" w:pos="12960"/>
      </w:tabs>
      <w:ind w:right="360" w:firstLine="360"/>
      <w:rPr>
        <w:lang w:val="es-AR"/>
      </w:rPr>
    </w:pPr>
    <w:r>
      <w:rPr>
        <w:rStyle w:val="Nmerodepgina"/>
        <w:rFonts w:cs="Arial"/>
        <w:lang w:val="es-AR"/>
      </w:rPr>
      <w:t>1-</w:t>
    </w:r>
    <w:r>
      <w:rPr>
        <w:rStyle w:val="Nmerodepgina"/>
        <w:rFonts w:cs="Arial"/>
        <w:lang w:val="es-AR"/>
      </w:rPr>
      <w:tab/>
      <w:t>Sección I</w:t>
    </w:r>
    <w:r>
      <w:rPr>
        <w:rStyle w:val="Nmerodepgina"/>
        <w:lang w:val="es-AR"/>
      </w:rPr>
      <w:t>II</w:t>
    </w:r>
    <w:r>
      <w:rPr>
        <w:rStyle w:val="Nmerodepgina"/>
        <w:rFonts w:cs="Arial"/>
        <w:lang w:val="es-AR"/>
      </w:rPr>
      <w:t xml:space="preserve"> - Criterios de Evaluación y Calificación</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framePr w:wrap="around" w:vAnchor="text" w:hAnchor="page" w:x="9841" w:y="-66"/>
      <w:rPr>
        <w:rStyle w:val="Nmerodepgina"/>
        <w:lang w:val="es-ES_tradnl"/>
      </w:rPr>
    </w:pPr>
    <w:r>
      <w:rPr>
        <w:rStyle w:val="Nmerodepgina"/>
      </w:rPr>
      <w:fldChar w:fldCharType="begin"/>
    </w:r>
    <w:r>
      <w:rPr>
        <w:rStyle w:val="Nmerodepgina"/>
        <w:lang w:val="es-ES_tradnl"/>
      </w:rPr>
      <w:instrText xml:space="preserve">PAGE  </w:instrText>
    </w:r>
    <w:r>
      <w:rPr>
        <w:rStyle w:val="Nmerodepgina"/>
      </w:rPr>
      <w:fldChar w:fldCharType="separate"/>
    </w:r>
    <w:r>
      <w:rPr>
        <w:rStyle w:val="Nmerodepgina"/>
        <w:noProof/>
        <w:lang w:val="es-ES_tradnl"/>
      </w:rPr>
      <w:t>36</w:t>
    </w:r>
    <w:r>
      <w:rPr>
        <w:rStyle w:val="Nmerodepgina"/>
      </w:rPr>
      <w:fldChar w:fldCharType="end"/>
    </w:r>
  </w:p>
  <w:p>
    <w:pPr>
      <w:pStyle w:val="Encabezado"/>
      <w:pBdr>
        <w:bottom w:val="single" w:sz="4" w:space="0" w:color="auto"/>
      </w:pBdr>
      <w:ind w:right="360" w:firstLine="360"/>
      <w:rPr>
        <w:rFonts w:ascii="Century Gothic" w:hAnsi="Century Gothic"/>
        <w:lang w:val="es-AR"/>
      </w:rPr>
    </w:pPr>
    <w:r>
      <w:rPr>
        <w:rFonts w:ascii="Century Gothic" w:hAnsi="Century Gothic"/>
        <w:lang w:val="es-AR"/>
      </w:rPr>
      <w:t>Sección II. Datos de la Licitación (DDL)</w:t>
    </w:r>
    <w:r>
      <w:rPr>
        <w:rFonts w:ascii="Century Gothic" w:hAnsi="Century Gothic"/>
        <w:lang w:val="es-A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4410B"/>
    <w:multiLevelType w:val="multilevel"/>
    <w:tmpl w:val="A14665EE"/>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2"/>
        <w:szCs w:val="22"/>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5" w15:restartNumberingAfterBreak="0">
    <w:nsid w:val="03E05121"/>
    <w:multiLevelType w:val="hybridMultilevel"/>
    <w:tmpl w:val="9774BA20"/>
    <w:lvl w:ilvl="0" w:tplc="DC44D16A">
      <w:start w:val="1"/>
      <w:numFmt w:val="lowerLetter"/>
      <w:lvlText w:val="(%1)"/>
      <w:lvlJc w:val="left"/>
      <w:pPr>
        <w:ind w:left="1224" w:hanging="360"/>
      </w:pPr>
      <w:rPr>
        <w:rFonts w:hint="default"/>
        <w:i w:val="0"/>
        <w:iCs/>
      </w:rPr>
    </w:lvl>
    <w:lvl w:ilvl="1" w:tplc="300A0019" w:tentative="1">
      <w:start w:val="1"/>
      <w:numFmt w:val="lowerLetter"/>
      <w:lvlText w:val="%2."/>
      <w:lvlJc w:val="left"/>
      <w:pPr>
        <w:ind w:left="1944" w:hanging="360"/>
      </w:pPr>
    </w:lvl>
    <w:lvl w:ilvl="2" w:tplc="300A001B" w:tentative="1">
      <w:start w:val="1"/>
      <w:numFmt w:val="lowerRoman"/>
      <w:lvlText w:val="%3."/>
      <w:lvlJc w:val="right"/>
      <w:pPr>
        <w:ind w:left="2664" w:hanging="180"/>
      </w:pPr>
    </w:lvl>
    <w:lvl w:ilvl="3" w:tplc="300A000F" w:tentative="1">
      <w:start w:val="1"/>
      <w:numFmt w:val="decimal"/>
      <w:lvlText w:val="%4."/>
      <w:lvlJc w:val="left"/>
      <w:pPr>
        <w:ind w:left="3384" w:hanging="360"/>
      </w:pPr>
    </w:lvl>
    <w:lvl w:ilvl="4" w:tplc="300A0019" w:tentative="1">
      <w:start w:val="1"/>
      <w:numFmt w:val="lowerLetter"/>
      <w:lvlText w:val="%5."/>
      <w:lvlJc w:val="left"/>
      <w:pPr>
        <w:ind w:left="4104" w:hanging="360"/>
      </w:pPr>
    </w:lvl>
    <w:lvl w:ilvl="5" w:tplc="300A001B" w:tentative="1">
      <w:start w:val="1"/>
      <w:numFmt w:val="lowerRoman"/>
      <w:lvlText w:val="%6."/>
      <w:lvlJc w:val="right"/>
      <w:pPr>
        <w:ind w:left="4824" w:hanging="180"/>
      </w:pPr>
    </w:lvl>
    <w:lvl w:ilvl="6" w:tplc="300A000F" w:tentative="1">
      <w:start w:val="1"/>
      <w:numFmt w:val="decimal"/>
      <w:lvlText w:val="%7."/>
      <w:lvlJc w:val="left"/>
      <w:pPr>
        <w:ind w:left="5544" w:hanging="360"/>
      </w:pPr>
    </w:lvl>
    <w:lvl w:ilvl="7" w:tplc="300A0019" w:tentative="1">
      <w:start w:val="1"/>
      <w:numFmt w:val="lowerLetter"/>
      <w:lvlText w:val="%8."/>
      <w:lvlJc w:val="left"/>
      <w:pPr>
        <w:ind w:left="6264" w:hanging="360"/>
      </w:pPr>
    </w:lvl>
    <w:lvl w:ilvl="8" w:tplc="300A001B" w:tentative="1">
      <w:start w:val="1"/>
      <w:numFmt w:val="lowerRoman"/>
      <w:lvlText w:val="%9."/>
      <w:lvlJc w:val="right"/>
      <w:pPr>
        <w:ind w:left="6984" w:hanging="180"/>
      </w:pPr>
    </w:lvl>
  </w:abstractNum>
  <w:abstractNum w:abstractNumId="16"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9" w15:restartNumberingAfterBreak="0">
    <w:nsid w:val="07020CED"/>
    <w:multiLevelType w:val="hybridMultilevel"/>
    <w:tmpl w:val="E430AE58"/>
    <w:lvl w:ilvl="0" w:tplc="575E3B50">
      <w:start w:val="1"/>
      <w:numFmt w:val="lowerRoman"/>
      <w:lvlText w:val="(%1)"/>
      <w:lvlJc w:val="left"/>
      <w:pPr>
        <w:ind w:left="1926" w:hanging="360"/>
      </w:pPr>
      <w:rPr>
        <w:rFonts w:hint="default"/>
      </w:rPr>
    </w:lvl>
    <w:lvl w:ilvl="1" w:tplc="300A0019" w:tentative="1">
      <w:start w:val="1"/>
      <w:numFmt w:val="lowerLetter"/>
      <w:lvlText w:val="%2."/>
      <w:lvlJc w:val="left"/>
      <w:pPr>
        <w:ind w:left="2646" w:hanging="360"/>
      </w:pPr>
    </w:lvl>
    <w:lvl w:ilvl="2" w:tplc="300A001B" w:tentative="1">
      <w:start w:val="1"/>
      <w:numFmt w:val="lowerRoman"/>
      <w:lvlText w:val="%3."/>
      <w:lvlJc w:val="right"/>
      <w:pPr>
        <w:ind w:left="3366" w:hanging="180"/>
      </w:pPr>
    </w:lvl>
    <w:lvl w:ilvl="3" w:tplc="300A000F" w:tentative="1">
      <w:start w:val="1"/>
      <w:numFmt w:val="decimal"/>
      <w:lvlText w:val="%4."/>
      <w:lvlJc w:val="left"/>
      <w:pPr>
        <w:ind w:left="4086" w:hanging="360"/>
      </w:pPr>
    </w:lvl>
    <w:lvl w:ilvl="4" w:tplc="300A0019" w:tentative="1">
      <w:start w:val="1"/>
      <w:numFmt w:val="lowerLetter"/>
      <w:lvlText w:val="%5."/>
      <w:lvlJc w:val="left"/>
      <w:pPr>
        <w:ind w:left="4806" w:hanging="360"/>
      </w:pPr>
    </w:lvl>
    <w:lvl w:ilvl="5" w:tplc="300A001B" w:tentative="1">
      <w:start w:val="1"/>
      <w:numFmt w:val="lowerRoman"/>
      <w:lvlText w:val="%6."/>
      <w:lvlJc w:val="right"/>
      <w:pPr>
        <w:ind w:left="5526" w:hanging="180"/>
      </w:pPr>
    </w:lvl>
    <w:lvl w:ilvl="6" w:tplc="300A000F" w:tentative="1">
      <w:start w:val="1"/>
      <w:numFmt w:val="decimal"/>
      <w:lvlText w:val="%7."/>
      <w:lvlJc w:val="left"/>
      <w:pPr>
        <w:ind w:left="6246" w:hanging="360"/>
      </w:pPr>
    </w:lvl>
    <w:lvl w:ilvl="7" w:tplc="300A0019" w:tentative="1">
      <w:start w:val="1"/>
      <w:numFmt w:val="lowerLetter"/>
      <w:lvlText w:val="%8."/>
      <w:lvlJc w:val="left"/>
      <w:pPr>
        <w:ind w:left="6966" w:hanging="360"/>
      </w:pPr>
    </w:lvl>
    <w:lvl w:ilvl="8" w:tplc="300A001B" w:tentative="1">
      <w:start w:val="1"/>
      <w:numFmt w:val="lowerRoman"/>
      <w:lvlText w:val="%9."/>
      <w:lvlJc w:val="right"/>
      <w:pPr>
        <w:ind w:left="7686" w:hanging="180"/>
      </w:pPr>
    </w:lvl>
  </w:abstractNum>
  <w:abstractNum w:abstractNumId="20"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3" w15:restartNumberingAfterBreak="0">
    <w:nsid w:val="0B933A9B"/>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8163CF"/>
    <w:multiLevelType w:val="hybridMultilevel"/>
    <w:tmpl w:val="D6FC105A"/>
    <w:lvl w:ilvl="0" w:tplc="97123CEC">
      <w:start w:val="1"/>
      <w:numFmt w:val="decimal"/>
      <w:lvlText w:val="%1."/>
      <w:lvlJc w:val="left"/>
      <w:pPr>
        <w:ind w:left="720" w:hanging="360"/>
      </w:pPr>
      <w:rPr>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9"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C5AEA"/>
    <w:multiLevelType w:val="multilevel"/>
    <w:tmpl w:val="6E4AA360"/>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2"/>
        <w:szCs w:val="22"/>
      </w:rPr>
    </w:lvl>
    <w:lvl w:ilvl="2">
      <w:start w:val="1"/>
      <w:numFmt w:val="lowerLetter"/>
      <w:pStyle w:val="P3Header1-Clauses"/>
      <w:lvlText w:val="(%3)"/>
      <w:lvlJc w:val="left"/>
      <w:pPr>
        <w:ind w:left="864" w:hanging="360"/>
      </w:pPr>
      <w:rPr>
        <w:rFonts w:hint="default"/>
        <w:b w:val="0"/>
        <w:i w:val="0"/>
        <w:sz w:val="22"/>
        <w:szCs w:val="22"/>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132E72D2"/>
    <w:multiLevelType w:val="hybridMultilevel"/>
    <w:tmpl w:val="84BE1502"/>
    <w:lvl w:ilvl="0" w:tplc="4B1CD8C8">
      <w:start w:val="1"/>
      <w:numFmt w:val="decimal"/>
      <w:lvlText w:val="%1."/>
      <w:lvlJc w:val="left"/>
      <w:pPr>
        <w:ind w:left="566" w:hanging="279"/>
      </w:pPr>
      <w:rPr>
        <w:rFonts w:ascii="Candara" w:eastAsia="Candara" w:hAnsi="Candara" w:cs="Candara" w:hint="default"/>
        <w:b/>
        <w:bCs/>
        <w:i w:val="0"/>
        <w:iCs w:val="0"/>
        <w:spacing w:val="0"/>
        <w:w w:val="100"/>
        <w:sz w:val="22"/>
        <w:szCs w:val="22"/>
        <w:lang w:val="es-ES" w:eastAsia="en-US" w:bidi="ar-SA"/>
      </w:rPr>
    </w:lvl>
    <w:lvl w:ilvl="1" w:tplc="1F2C4C4A">
      <w:numFmt w:val="bullet"/>
      <w:lvlText w:val=""/>
      <w:lvlJc w:val="left"/>
      <w:pPr>
        <w:ind w:left="1277" w:hanging="209"/>
      </w:pPr>
      <w:rPr>
        <w:rFonts w:ascii="Symbol" w:eastAsia="Symbol" w:hAnsi="Symbol" w:cs="Symbol" w:hint="default"/>
        <w:b w:val="0"/>
        <w:bCs w:val="0"/>
        <w:i w:val="0"/>
        <w:iCs w:val="0"/>
        <w:spacing w:val="0"/>
        <w:w w:val="100"/>
        <w:sz w:val="22"/>
        <w:szCs w:val="22"/>
        <w:lang w:val="es-ES" w:eastAsia="en-US" w:bidi="ar-SA"/>
      </w:rPr>
    </w:lvl>
    <w:lvl w:ilvl="2" w:tplc="1A245356">
      <w:numFmt w:val="bullet"/>
      <w:lvlText w:val="•"/>
      <w:lvlJc w:val="left"/>
      <w:pPr>
        <w:ind w:left="2177" w:hanging="209"/>
      </w:pPr>
      <w:rPr>
        <w:rFonts w:hint="default"/>
        <w:lang w:val="es-ES" w:eastAsia="en-US" w:bidi="ar-SA"/>
      </w:rPr>
    </w:lvl>
    <w:lvl w:ilvl="3" w:tplc="75D266C4">
      <w:numFmt w:val="bullet"/>
      <w:lvlText w:val="•"/>
      <w:lvlJc w:val="left"/>
      <w:pPr>
        <w:ind w:left="3075" w:hanging="209"/>
      </w:pPr>
      <w:rPr>
        <w:rFonts w:hint="default"/>
        <w:lang w:val="es-ES" w:eastAsia="en-US" w:bidi="ar-SA"/>
      </w:rPr>
    </w:lvl>
    <w:lvl w:ilvl="4" w:tplc="075A8B14">
      <w:numFmt w:val="bullet"/>
      <w:lvlText w:val="•"/>
      <w:lvlJc w:val="left"/>
      <w:pPr>
        <w:ind w:left="3973" w:hanging="209"/>
      </w:pPr>
      <w:rPr>
        <w:rFonts w:hint="default"/>
        <w:lang w:val="es-ES" w:eastAsia="en-US" w:bidi="ar-SA"/>
      </w:rPr>
    </w:lvl>
    <w:lvl w:ilvl="5" w:tplc="F9A85F08">
      <w:numFmt w:val="bullet"/>
      <w:lvlText w:val="•"/>
      <w:lvlJc w:val="left"/>
      <w:pPr>
        <w:ind w:left="4871" w:hanging="209"/>
      </w:pPr>
      <w:rPr>
        <w:rFonts w:hint="default"/>
        <w:lang w:val="es-ES" w:eastAsia="en-US" w:bidi="ar-SA"/>
      </w:rPr>
    </w:lvl>
    <w:lvl w:ilvl="6" w:tplc="1A187F5C">
      <w:numFmt w:val="bullet"/>
      <w:lvlText w:val="•"/>
      <w:lvlJc w:val="left"/>
      <w:pPr>
        <w:ind w:left="5769" w:hanging="209"/>
      </w:pPr>
      <w:rPr>
        <w:rFonts w:hint="default"/>
        <w:lang w:val="es-ES" w:eastAsia="en-US" w:bidi="ar-SA"/>
      </w:rPr>
    </w:lvl>
    <w:lvl w:ilvl="7" w:tplc="73CE40F6">
      <w:numFmt w:val="bullet"/>
      <w:lvlText w:val="•"/>
      <w:lvlJc w:val="left"/>
      <w:pPr>
        <w:ind w:left="6667" w:hanging="209"/>
      </w:pPr>
      <w:rPr>
        <w:rFonts w:hint="default"/>
        <w:lang w:val="es-ES" w:eastAsia="en-US" w:bidi="ar-SA"/>
      </w:rPr>
    </w:lvl>
    <w:lvl w:ilvl="8" w:tplc="6D2A6C02">
      <w:numFmt w:val="bullet"/>
      <w:lvlText w:val="•"/>
      <w:lvlJc w:val="left"/>
      <w:pPr>
        <w:ind w:left="7565" w:hanging="209"/>
      </w:pPr>
      <w:rPr>
        <w:rFonts w:hint="default"/>
        <w:lang w:val="es-ES" w:eastAsia="en-US" w:bidi="ar-SA"/>
      </w:rPr>
    </w:lvl>
  </w:abstractNum>
  <w:abstractNum w:abstractNumId="34"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9D0FA2"/>
    <w:multiLevelType w:val="hybridMultilevel"/>
    <w:tmpl w:val="D3BA47C6"/>
    <w:lvl w:ilvl="0" w:tplc="7F08C22E">
      <w:start w:val="1"/>
      <w:numFmt w:val="lowerLetter"/>
      <w:lvlText w:val="(%1)"/>
      <w:lvlJc w:val="left"/>
      <w:pPr>
        <w:ind w:left="1224" w:hanging="360"/>
      </w:pPr>
      <w:rPr>
        <w:rFonts w:hint="default"/>
      </w:rPr>
    </w:lvl>
    <w:lvl w:ilvl="1" w:tplc="300A0019" w:tentative="1">
      <w:start w:val="1"/>
      <w:numFmt w:val="lowerLetter"/>
      <w:lvlText w:val="%2."/>
      <w:lvlJc w:val="left"/>
      <w:pPr>
        <w:ind w:left="1944" w:hanging="360"/>
      </w:pPr>
    </w:lvl>
    <w:lvl w:ilvl="2" w:tplc="300A001B" w:tentative="1">
      <w:start w:val="1"/>
      <w:numFmt w:val="lowerRoman"/>
      <w:lvlText w:val="%3."/>
      <w:lvlJc w:val="right"/>
      <w:pPr>
        <w:ind w:left="2664" w:hanging="180"/>
      </w:pPr>
    </w:lvl>
    <w:lvl w:ilvl="3" w:tplc="300A000F" w:tentative="1">
      <w:start w:val="1"/>
      <w:numFmt w:val="decimal"/>
      <w:lvlText w:val="%4."/>
      <w:lvlJc w:val="left"/>
      <w:pPr>
        <w:ind w:left="3384" w:hanging="360"/>
      </w:pPr>
    </w:lvl>
    <w:lvl w:ilvl="4" w:tplc="300A0019" w:tentative="1">
      <w:start w:val="1"/>
      <w:numFmt w:val="lowerLetter"/>
      <w:lvlText w:val="%5."/>
      <w:lvlJc w:val="left"/>
      <w:pPr>
        <w:ind w:left="4104" w:hanging="360"/>
      </w:pPr>
    </w:lvl>
    <w:lvl w:ilvl="5" w:tplc="300A001B" w:tentative="1">
      <w:start w:val="1"/>
      <w:numFmt w:val="lowerRoman"/>
      <w:lvlText w:val="%6."/>
      <w:lvlJc w:val="right"/>
      <w:pPr>
        <w:ind w:left="4824" w:hanging="180"/>
      </w:pPr>
    </w:lvl>
    <w:lvl w:ilvl="6" w:tplc="300A000F" w:tentative="1">
      <w:start w:val="1"/>
      <w:numFmt w:val="decimal"/>
      <w:lvlText w:val="%7."/>
      <w:lvlJc w:val="left"/>
      <w:pPr>
        <w:ind w:left="5544" w:hanging="360"/>
      </w:pPr>
    </w:lvl>
    <w:lvl w:ilvl="7" w:tplc="300A0019" w:tentative="1">
      <w:start w:val="1"/>
      <w:numFmt w:val="lowerLetter"/>
      <w:lvlText w:val="%8."/>
      <w:lvlJc w:val="left"/>
      <w:pPr>
        <w:ind w:left="6264" w:hanging="360"/>
      </w:pPr>
    </w:lvl>
    <w:lvl w:ilvl="8" w:tplc="300A001B" w:tentative="1">
      <w:start w:val="1"/>
      <w:numFmt w:val="lowerRoman"/>
      <w:lvlText w:val="%9."/>
      <w:lvlJc w:val="right"/>
      <w:pPr>
        <w:ind w:left="6984" w:hanging="180"/>
      </w:pPr>
    </w:lvl>
  </w:abstractNum>
  <w:abstractNum w:abstractNumId="37"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14C3302C"/>
    <w:multiLevelType w:val="multilevel"/>
    <w:tmpl w:val="A694140E"/>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Roman"/>
      <w:lvlText w:val="(%3)"/>
      <w:lvlJc w:val="left"/>
      <w:pPr>
        <w:ind w:left="965" w:hanging="360"/>
      </w:pPr>
      <w:rPr>
        <w:rFonts w:cs="Times New Roman"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F07A88"/>
    <w:multiLevelType w:val="hybridMultilevel"/>
    <w:tmpl w:val="5C9A0F74"/>
    <w:lvl w:ilvl="0" w:tplc="25127F56">
      <w:start w:val="1"/>
      <w:numFmt w:val="lowerLetter"/>
      <w:lvlText w:val="%1."/>
      <w:lvlJc w:val="left"/>
      <w:pPr>
        <w:ind w:left="1854" w:hanging="360"/>
      </w:pPr>
      <w:rPr>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284DE2"/>
    <w:multiLevelType w:val="hybridMultilevel"/>
    <w:tmpl w:val="DF404D5C"/>
    <w:lvl w:ilvl="0" w:tplc="47F608A6">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9"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1"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B16093"/>
    <w:multiLevelType w:val="multilevel"/>
    <w:tmpl w:val="889C569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0"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2"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53346D1"/>
    <w:multiLevelType w:val="hybridMultilevel"/>
    <w:tmpl w:val="234A2F18"/>
    <w:lvl w:ilvl="0" w:tplc="7F08C22E">
      <w:start w:val="1"/>
      <w:numFmt w:val="lowerLetter"/>
      <w:lvlText w:val="(%1)"/>
      <w:lvlJc w:val="left"/>
      <w:pPr>
        <w:ind w:left="1327" w:hanging="360"/>
      </w:pPr>
      <w:rPr>
        <w:rFonts w:hint="default"/>
      </w:rPr>
    </w:lvl>
    <w:lvl w:ilvl="1" w:tplc="300A0019" w:tentative="1">
      <w:start w:val="1"/>
      <w:numFmt w:val="lowerLetter"/>
      <w:lvlText w:val="%2."/>
      <w:lvlJc w:val="left"/>
      <w:pPr>
        <w:ind w:left="2047" w:hanging="360"/>
      </w:pPr>
    </w:lvl>
    <w:lvl w:ilvl="2" w:tplc="300A001B" w:tentative="1">
      <w:start w:val="1"/>
      <w:numFmt w:val="lowerRoman"/>
      <w:lvlText w:val="%3."/>
      <w:lvlJc w:val="right"/>
      <w:pPr>
        <w:ind w:left="2767" w:hanging="180"/>
      </w:pPr>
    </w:lvl>
    <w:lvl w:ilvl="3" w:tplc="300A000F" w:tentative="1">
      <w:start w:val="1"/>
      <w:numFmt w:val="decimal"/>
      <w:lvlText w:val="%4."/>
      <w:lvlJc w:val="left"/>
      <w:pPr>
        <w:ind w:left="3487" w:hanging="360"/>
      </w:pPr>
    </w:lvl>
    <w:lvl w:ilvl="4" w:tplc="300A0019" w:tentative="1">
      <w:start w:val="1"/>
      <w:numFmt w:val="lowerLetter"/>
      <w:lvlText w:val="%5."/>
      <w:lvlJc w:val="left"/>
      <w:pPr>
        <w:ind w:left="4207" w:hanging="360"/>
      </w:pPr>
    </w:lvl>
    <w:lvl w:ilvl="5" w:tplc="300A001B" w:tentative="1">
      <w:start w:val="1"/>
      <w:numFmt w:val="lowerRoman"/>
      <w:lvlText w:val="%6."/>
      <w:lvlJc w:val="right"/>
      <w:pPr>
        <w:ind w:left="4927" w:hanging="180"/>
      </w:pPr>
    </w:lvl>
    <w:lvl w:ilvl="6" w:tplc="300A000F" w:tentative="1">
      <w:start w:val="1"/>
      <w:numFmt w:val="decimal"/>
      <w:lvlText w:val="%7."/>
      <w:lvlJc w:val="left"/>
      <w:pPr>
        <w:ind w:left="5647" w:hanging="360"/>
      </w:pPr>
    </w:lvl>
    <w:lvl w:ilvl="7" w:tplc="300A0019" w:tentative="1">
      <w:start w:val="1"/>
      <w:numFmt w:val="lowerLetter"/>
      <w:lvlText w:val="%8."/>
      <w:lvlJc w:val="left"/>
      <w:pPr>
        <w:ind w:left="6367" w:hanging="360"/>
      </w:pPr>
    </w:lvl>
    <w:lvl w:ilvl="8" w:tplc="300A001B" w:tentative="1">
      <w:start w:val="1"/>
      <w:numFmt w:val="lowerRoman"/>
      <w:lvlText w:val="%9."/>
      <w:lvlJc w:val="right"/>
      <w:pPr>
        <w:ind w:left="7087" w:hanging="180"/>
      </w:pPr>
    </w:lvl>
  </w:abstractNum>
  <w:abstractNum w:abstractNumId="66"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34629F"/>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96B2EC0"/>
    <w:multiLevelType w:val="hybridMultilevel"/>
    <w:tmpl w:val="DF08BD54"/>
    <w:lvl w:ilvl="0" w:tplc="F886C534">
      <w:start w:val="1"/>
      <w:numFmt w:val="bullet"/>
      <w:lvlText w:val=""/>
      <w:lvlJc w:val="left"/>
      <w:pPr>
        <w:ind w:left="1080" w:hanging="360"/>
      </w:pPr>
      <w:rPr>
        <w:rFonts w:ascii="Wingdings" w:hAnsi="Wingdings" w:hint="default"/>
        <w:color w:val="auto"/>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1" w15:restartNumberingAfterBreak="0">
    <w:nsid w:val="29F41DA8"/>
    <w:multiLevelType w:val="hybridMultilevel"/>
    <w:tmpl w:val="F81E5AF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2"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A7E6C84"/>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6"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DCA5E08"/>
    <w:multiLevelType w:val="hybridMultilevel"/>
    <w:tmpl w:val="9B56ACC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1"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83"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5"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322561A"/>
    <w:multiLevelType w:val="hybridMultilevel"/>
    <w:tmpl w:val="D6DEA6B2"/>
    <w:lvl w:ilvl="0" w:tplc="637CF5D0">
      <w:start w:val="1"/>
      <w:numFmt w:val="lowerLetter"/>
      <w:lvlText w:val="%1)"/>
      <w:lvlJc w:val="left"/>
      <w:pPr>
        <w:ind w:left="1221" w:hanging="360"/>
      </w:pPr>
      <w:rPr>
        <w:rFonts w:hint="default"/>
      </w:rPr>
    </w:lvl>
    <w:lvl w:ilvl="1" w:tplc="300A0019" w:tentative="1">
      <w:start w:val="1"/>
      <w:numFmt w:val="lowerLetter"/>
      <w:lvlText w:val="%2."/>
      <w:lvlJc w:val="left"/>
      <w:pPr>
        <w:ind w:left="1941" w:hanging="360"/>
      </w:pPr>
    </w:lvl>
    <w:lvl w:ilvl="2" w:tplc="300A001B" w:tentative="1">
      <w:start w:val="1"/>
      <w:numFmt w:val="lowerRoman"/>
      <w:lvlText w:val="%3."/>
      <w:lvlJc w:val="right"/>
      <w:pPr>
        <w:ind w:left="2661" w:hanging="180"/>
      </w:pPr>
    </w:lvl>
    <w:lvl w:ilvl="3" w:tplc="300A000F" w:tentative="1">
      <w:start w:val="1"/>
      <w:numFmt w:val="decimal"/>
      <w:lvlText w:val="%4."/>
      <w:lvlJc w:val="left"/>
      <w:pPr>
        <w:ind w:left="3381" w:hanging="360"/>
      </w:pPr>
    </w:lvl>
    <w:lvl w:ilvl="4" w:tplc="300A0019" w:tentative="1">
      <w:start w:val="1"/>
      <w:numFmt w:val="lowerLetter"/>
      <w:lvlText w:val="%5."/>
      <w:lvlJc w:val="left"/>
      <w:pPr>
        <w:ind w:left="4101" w:hanging="360"/>
      </w:pPr>
    </w:lvl>
    <w:lvl w:ilvl="5" w:tplc="300A001B" w:tentative="1">
      <w:start w:val="1"/>
      <w:numFmt w:val="lowerRoman"/>
      <w:lvlText w:val="%6."/>
      <w:lvlJc w:val="right"/>
      <w:pPr>
        <w:ind w:left="4821" w:hanging="180"/>
      </w:pPr>
    </w:lvl>
    <w:lvl w:ilvl="6" w:tplc="300A000F" w:tentative="1">
      <w:start w:val="1"/>
      <w:numFmt w:val="decimal"/>
      <w:lvlText w:val="%7."/>
      <w:lvlJc w:val="left"/>
      <w:pPr>
        <w:ind w:left="5541" w:hanging="360"/>
      </w:pPr>
    </w:lvl>
    <w:lvl w:ilvl="7" w:tplc="300A0019" w:tentative="1">
      <w:start w:val="1"/>
      <w:numFmt w:val="lowerLetter"/>
      <w:lvlText w:val="%8."/>
      <w:lvlJc w:val="left"/>
      <w:pPr>
        <w:ind w:left="6261" w:hanging="360"/>
      </w:pPr>
    </w:lvl>
    <w:lvl w:ilvl="8" w:tplc="300A001B" w:tentative="1">
      <w:start w:val="1"/>
      <w:numFmt w:val="lowerRoman"/>
      <w:lvlText w:val="%9."/>
      <w:lvlJc w:val="right"/>
      <w:pPr>
        <w:ind w:left="6981" w:hanging="180"/>
      </w:pPr>
    </w:lvl>
  </w:abstractNum>
  <w:abstractNum w:abstractNumId="91"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2"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94"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55F2CFD"/>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7"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01"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3DE25919"/>
    <w:multiLevelType w:val="hybridMultilevel"/>
    <w:tmpl w:val="C916F8FC"/>
    <w:lvl w:ilvl="0" w:tplc="99303FFA">
      <w:numFmt w:val="bullet"/>
      <w:lvlText w:val=""/>
      <w:lvlJc w:val="left"/>
      <w:pPr>
        <w:ind w:left="172" w:hanging="142"/>
      </w:pPr>
      <w:rPr>
        <w:rFonts w:ascii="Symbol" w:eastAsia="Symbol" w:hAnsi="Symbol" w:cs="Symbol" w:hint="default"/>
        <w:b w:val="0"/>
        <w:bCs w:val="0"/>
        <w:i w:val="0"/>
        <w:iCs w:val="0"/>
        <w:spacing w:val="0"/>
        <w:w w:val="100"/>
        <w:sz w:val="22"/>
        <w:szCs w:val="22"/>
        <w:lang w:val="es-ES" w:eastAsia="en-US" w:bidi="ar-SA"/>
      </w:rPr>
    </w:lvl>
    <w:lvl w:ilvl="1" w:tplc="CD8CF1AE">
      <w:numFmt w:val="bullet"/>
      <w:lvlText w:val="•"/>
      <w:lvlJc w:val="left"/>
      <w:pPr>
        <w:ind w:left="773" w:hanging="142"/>
      </w:pPr>
      <w:rPr>
        <w:rFonts w:hint="default"/>
        <w:lang w:val="es-ES" w:eastAsia="en-US" w:bidi="ar-SA"/>
      </w:rPr>
    </w:lvl>
    <w:lvl w:ilvl="2" w:tplc="4758657A">
      <w:numFmt w:val="bullet"/>
      <w:lvlText w:val="•"/>
      <w:lvlJc w:val="left"/>
      <w:pPr>
        <w:ind w:left="1367" w:hanging="142"/>
      </w:pPr>
      <w:rPr>
        <w:rFonts w:hint="default"/>
        <w:lang w:val="es-ES" w:eastAsia="en-US" w:bidi="ar-SA"/>
      </w:rPr>
    </w:lvl>
    <w:lvl w:ilvl="3" w:tplc="5E1E07F0">
      <w:numFmt w:val="bullet"/>
      <w:lvlText w:val="•"/>
      <w:lvlJc w:val="left"/>
      <w:pPr>
        <w:ind w:left="1960" w:hanging="142"/>
      </w:pPr>
      <w:rPr>
        <w:rFonts w:hint="default"/>
        <w:lang w:val="es-ES" w:eastAsia="en-US" w:bidi="ar-SA"/>
      </w:rPr>
    </w:lvl>
    <w:lvl w:ilvl="4" w:tplc="0164CC48">
      <w:numFmt w:val="bullet"/>
      <w:lvlText w:val="•"/>
      <w:lvlJc w:val="left"/>
      <w:pPr>
        <w:ind w:left="2554" w:hanging="142"/>
      </w:pPr>
      <w:rPr>
        <w:rFonts w:hint="default"/>
        <w:lang w:val="es-ES" w:eastAsia="en-US" w:bidi="ar-SA"/>
      </w:rPr>
    </w:lvl>
    <w:lvl w:ilvl="5" w:tplc="8DDA5622">
      <w:numFmt w:val="bullet"/>
      <w:lvlText w:val="•"/>
      <w:lvlJc w:val="left"/>
      <w:pPr>
        <w:ind w:left="3147" w:hanging="142"/>
      </w:pPr>
      <w:rPr>
        <w:rFonts w:hint="default"/>
        <w:lang w:val="es-ES" w:eastAsia="en-US" w:bidi="ar-SA"/>
      </w:rPr>
    </w:lvl>
    <w:lvl w:ilvl="6" w:tplc="B01834CE">
      <w:numFmt w:val="bullet"/>
      <w:lvlText w:val="•"/>
      <w:lvlJc w:val="left"/>
      <w:pPr>
        <w:ind w:left="3741" w:hanging="142"/>
      </w:pPr>
      <w:rPr>
        <w:rFonts w:hint="default"/>
        <w:lang w:val="es-ES" w:eastAsia="en-US" w:bidi="ar-SA"/>
      </w:rPr>
    </w:lvl>
    <w:lvl w:ilvl="7" w:tplc="09AC4B92">
      <w:numFmt w:val="bullet"/>
      <w:lvlText w:val="•"/>
      <w:lvlJc w:val="left"/>
      <w:pPr>
        <w:ind w:left="4334" w:hanging="142"/>
      </w:pPr>
      <w:rPr>
        <w:rFonts w:hint="default"/>
        <w:lang w:val="es-ES" w:eastAsia="en-US" w:bidi="ar-SA"/>
      </w:rPr>
    </w:lvl>
    <w:lvl w:ilvl="8" w:tplc="6DA25A06">
      <w:numFmt w:val="bullet"/>
      <w:lvlText w:val="•"/>
      <w:lvlJc w:val="left"/>
      <w:pPr>
        <w:ind w:left="4928" w:hanging="142"/>
      </w:pPr>
      <w:rPr>
        <w:rFonts w:hint="default"/>
        <w:lang w:val="es-ES" w:eastAsia="en-US" w:bidi="ar-SA"/>
      </w:rPr>
    </w:lvl>
  </w:abstractNum>
  <w:abstractNum w:abstractNumId="104"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7"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08"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1" w15:restartNumberingAfterBreak="0">
    <w:nsid w:val="42B2775C"/>
    <w:multiLevelType w:val="hybridMultilevel"/>
    <w:tmpl w:val="2CF4DAA8"/>
    <w:lvl w:ilvl="0" w:tplc="FB36E9A2">
      <w:start w:val="1"/>
      <w:numFmt w:val="lowerLetter"/>
      <w:lvlText w:val="(%1)"/>
      <w:lvlJc w:val="left"/>
      <w:pPr>
        <w:ind w:left="108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8122393"/>
    <w:multiLevelType w:val="hybridMultilevel"/>
    <w:tmpl w:val="98E0659E"/>
    <w:lvl w:ilvl="0" w:tplc="BD669D86">
      <w:start w:val="1"/>
      <w:numFmt w:val="lowerRoman"/>
      <w:lvlText w:val="(%1)"/>
      <w:lvlJc w:val="left"/>
      <w:pPr>
        <w:tabs>
          <w:tab w:val="num" w:pos="1440"/>
        </w:tabs>
        <w:ind w:left="1440" w:hanging="360"/>
      </w:pPr>
      <w:rPr>
        <w:rFonts w:ascii="Century Gothic" w:hAnsi="Century Gothic"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5"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9" w15:restartNumberingAfterBreak="0">
    <w:nsid w:val="51AD1819"/>
    <w:multiLevelType w:val="hybridMultilevel"/>
    <w:tmpl w:val="D1262758"/>
    <w:lvl w:ilvl="0" w:tplc="992252CE">
      <w:start w:val="1"/>
      <w:numFmt w:val="decimal"/>
      <w:pStyle w:val="CGCONTRATO"/>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2"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33"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3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8"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3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587F3EE8"/>
    <w:multiLevelType w:val="hybridMultilevel"/>
    <w:tmpl w:val="436CEF2E"/>
    <w:lvl w:ilvl="0" w:tplc="AC68931E">
      <w:start w:val="1"/>
      <w:numFmt w:val="lowerLetter"/>
      <w:lvlText w:val="(%1)"/>
      <w:lvlJc w:val="left"/>
      <w:pPr>
        <w:tabs>
          <w:tab w:val="num" w:pos="2232"/>
        </w:tabs>
        <w:ind w:left="2232" w:hanging="504"/>
      </w:pPr>
      <w:rPr>
        <w:rFonts w:hint="default"/>
      </w:rPr>
    </w:lvl>
    <w:lvl w:ilvl="1" w:tplc="671C14FE">
      <w:start w:val="1"/>
      <w:numFmt w:val="lowerRoman"/>
      <w:lvlText w:val="(%2)"/>
      <w:lvlJc w:val="left"/>
      <w:pPr>
        <w:tabs>
          <w:tab w:val="num" w:pos="1440"/>
        </w:tabs>
        <w:ind w:left="1440" w:hanging="360"/>
      </w:pPr>
      <w:rPr>
        <w:rFonts w:ascii="Century Gothic" w:hAnsi="Century Gothic"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44"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7"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9"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F7C70FD"/>
    <w:multiLevelType w:val="multilevel"/>
    <w:tmpl w:val="2EBC70E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2"/>
        <w:szCs w:val="22"/>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2"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4"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6"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61"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ED11266"/>
    <w:multiLevelType w:val="hybridMultilevel"/>
    <w:tmpl w:val="191E0FC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053696C"/>
    <w:multiLevelType w:val="hybridMultilevel"/>
    <w:tmpl w:val="3D125C54"/>
    <w:lvl w:ilvl="0" w:tplc="56D24602">
      <w:start w:val="1"/>
      <w:numFmt w:val="lowerRoman"/>
      <w:lvlText w:val="(%1)"/>
      <w:lvlJc w:val="left"/>
      <w:pPr>
        <w:tabs>
          <w:tab w:val="num" w:pos="1440"/>
        </w:tabs>
        <w:ind w:left="1440" w:hanging="360"/>
      </w:pPr>
      <w:rPr>
        <w:rFonts w:ascii="Century Gothic" w:hAnsi="Century Gothic"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6"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7"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1"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82"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43"/>
  </w:num>
  <w:num w:numId="2">
    <w:abstractNumId w:val="124"/>
  </w:num>
  <w:num w:numId="3">
    <w:abstractNumId w:val="104"/>
  </w:num>
  <w:num w:numId="4">
    <w:abstractNumId w:val="110"/>
  </w:num>
  <w:num w:numId="5">
    <w:abstractNumId w:val="175"/>
  </w:num>
  <w:num w:numId="6">
    <w:abstractNumId w:val="7"/>
  </w:num>
  <w:num w:numId="7">
    <w:abstractNumId w:val="114"/>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2"/>
  </w:num>
  <w:num w:numId="17">
    <w:abstractNumId w:val="17"/>
  </w:num>
  <w:num w:numId="18">
    <w:abstractNumId w:val="47"/>
  </w:num>
  <w:num w:numId="19">
    <w:abstractNumId w:val="176"/>
  </w:num>
  <w:num w:numId="20">
    <w:abstractNumId w:val="29"/>
  </w:num>
  <w:num w:numId="21">
    <w:abstractNumId w:val="30"/>
  </w:num>
  <w:num w:numId="22">
    <w:abstractNumId w:val="173"/>
  </w:num>
  <w:num w:numId="23">
    <w:abstractNumId w:val="127"/>
  </w:num>
  <w:num w:numId="24">
    <w:abstractNumId w:val="20"/>
  </w:num>
  <w:num w:numId="25">
    <w:abstractNumId w:val="61"/>
  </w:num>
  <w:num w:numId="26">
    <w:abstractNumId w:val="66"/>
  </w:num>
  <w:num w:numId="27">
    <w:abstractNumId w:val="169"/>
  </w:num>
  <w:num w:numId="28">
    <w:abstractNumId w:val="105"/>
  </w:num>
  <w:num w:numId="29">
    <w:abstractNumId w:val="35"/>
  </w:num>
  <w:num w:numId="30">
    <w:abstractNumId w:val="98"/>
  </w:num>
  <w:num w:numId="31">
    <w:abstractNumId w:val="168"/>
  </w:num>
  <w:num w:numId="32">
    <w:abstractNumId w:val="144"/>
  </w:num>
  <w:num w:numId="33">
    <w:abstractNumId w:val="59"/>
  </w:num>
  <w:num w:numId="34">
    <w:abstractNumId w:val="82"/>
  </w:num>
  <w:num w:numId="35">
    <w:abstractNumId w:val="76"/>
  </w:num>
  <w:num w:numId="36">
    <w:abstractNumId w:val="116"/>
  </w:num>
  <w:num w:numId="37">
    <w:abstractNumId w:val="92"/>
  </w:num>
  <w:num w:numId="38">
    <w:abstractNumId w:val="100"/>
  </w:num>
  <w:num w:numId="39">
    <w:abstractNumId w:val="22"/>
  </w:num>
  <w:num w:numId="40">
    <w:abstractNumId w:val="154"/>
  </w:num>
  <w:num w:numId="41">
    <w:abstractNumId w:val="102"/>
  </w:num>
  <w:num w:numId="42">
    <w:abstractNumId w:val="45"/>
  </w:num>
  <w:num w:numId="43">
    <w:abstractNumId w:val="131"/>
  </w:num>
  <w:num w:numId="44">
    <w:abstractNumId w:val="14"/>
  </w:num>
  <w:num w:numId="45">
    <w:abstractNumId w:val="84"/>
  </w:num>
  <w:num w:numId="46">
    <w:abstractNumId w:val="178"/>
  </w:num>
  <w:num w:numId="47">
    <w:abstractNumId w:val="87"/>
  </w:num>
  <w:num w:numId="48">
    <w:abstractNumId w:val="68"/>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1"/>
  </w:num>
  <w:num w:numId="51">
    <w:abstractNumId w:val="39"/>
  </w:num>
  <w:num w:numId="52">
    <w:abstractNumId w:val="53"/>
  </w:num>
  <w:num w:numId="53">
    <w:abstractNumId w:val="152"/>
  </w:num>
  <w:num w:numId="54">
    <w:abstractNumId w:val="107"/>
  </w:num>
  <w:num w:numId="55">
    <w:abstractNumId w:val="160"/>
  </w:num>
  <w:num w:numId="56">
    <w:abstractNumId w:val="37"/>
  </w:num>
  <w:num w:numId="57">
    <w:abstractNumId w:val="34"/>
  </w:num>
  <w:num w:numId="58">
    <w:abstractNumId w:val="181"/>
  </w:num>
  <w:num w:numId="59">
    <w:abstractNumId w:val="16"/>
    <w:lvlOverride w:ilvl="0">
      <w:startOverride w:val="1"/>
    </w:lvlOverride>
  </w:num>
  <w:num w:numId="60">
    <w:abstractNumId w:val="136"/>
  </w:num>
  <w:num w:numId="61">
    <w:abstractNumId w:val="28"/>
  </w:num>
  <w:num w:numId="62">
    <w:abstractNumId w:val="132"/>
  </w:num>
  <w:num w:numId="63">
    <w:abstractNumId w:val="48"/>
  </w:num>
  <w:num w:numId="64">
    <w:abstractNumId w:val="93"/>
  </w:num>
  <w:num w:numId="65">
    <w:abstractNumId w:val="25"/>
  </w:num>
  <w:num w:numId="66">
    <w:abstractNumId w:val="138"/>
  </w:num>
  <w:num w:numId="67">
    <w:abstractNumId w:val="156"/>
  </w:num>
  <w:num w:numId="68">
    <w:abstractNumId w:val="139"/>
  </w:num>
  <w:num w:numId="69">
    <w:abstractNumId w:val="150"/>
  </w:num>
  <w:num w:numId="70">
    <w:abstractNumId w:val="167"/>
  </w:num>
  <w:num w:numId="71">
    <w:abstractNumId w:val="60"/>
  </w:num>
  <w:num w:numId="72">
    <w:abstractNumId w:val="18"/>
  </w:num>
  <w:num w:numId="73">
    <w:abstractNumId w:val="74"/>
  </w:num>
  <w:num w:numId="74">
    <w:abstractNumId w:val="146"/>
  </w:num>
  <w:num w:numId="75">
    <w:abstractNumId w:val="108"/>
  </w:num>
  <w:num w:numId="76">
    <w:abstractNumId w:val="12"/>
  </w:num>
  <w:num w:numId="77">
    <w:abstractNumId w:val="40"/>
  </w:num>
  <w:num w:numId="78">
    <w:abstractNumId w:val="179"/>
  </w:num>
  <w:num w:numId="79">
    <w:abstractNumId w:val="123"/>
  </w:num>
  <w:num w:numId="80">
    <w:abstractNumId w:val="125"/>
  </w:num>
  <w:num w:numId="81">
    <w:abstractNumId w:val="94"/>
  </w:num>
  <w:num w:numId="82">
    <w:abstractNumId w:val="11"/>
  </w:num>
  <w:num w:numId="83">
    <w:abstractNumId w:val="111"/>
  </w:num>
  <w:num w:numId="84">
    <w:abstractNumId w:val="164"/>
  </w:num>
  <w:num w:numId="85">
    <w:abstractNumId w:val="67"/>
  </w:num>
  <w:num w:numId="86">
    <w:abstractNumId w:val="73"/>
  </w:num>
  <w:num w:numId="87">
    <w:abstractNumId w:val="38"/>
  </w:num>
  <w:num w:numId="88">
    <w:abstractNumId w:val="62"/>
  </w:num>
  <w:num w:numId="89">
    <w:abstractNumId w:val="130"/>
  </w:num>
  <w:num w:numId="90">
    <w:abstractNumId w:val="151"/>
  </w:num>
  <w:num w:numId="91">
    <w:abstractNumId w:val="89"/>
  </w:num>
  <w:num w:numId="92">
    <w:abstractNumId w:val="55"/>
  </w:num>
  <w:num w:numId="93">
    <w:abstractNumId w:val="137"/>
  </w:num>
  <w:num w:numId="94">
    <w:abstractNumId w:val="122"/>
  </w:num>
  <w:num w:numId="95">
    <w:abstractNumId w:val="77"/>
  </w:num>
  <w:num w:numId="96">
    <w:abstractNumId w:val="153"/>
  </w:num>
  <w:num w:numId="97">
    <w:abstractNumId w:val="184"/>
  </w:num>
  <w:num w:numId="98">
    <w:abstractNumId w:val="41"/>
  </w:num>
  <w:num w:numId="99">
    <w:abstractNumId w:val="141"/>
  </w:num>
  <w:num w:numId="100">
    <w:abstractNumId w:val="99"/>
  </w:num>
  <w:num w:numId="101">
    <w:abstractNumId w:val="159"/>
  </w:num>
  <w:num w:numId="102">
    <w:abstractNumId w:val="52"/>
  </w:num>
  <w:num w:numId="103">
    <w:abstractNumId w:val="75"/>
  </w:num>
  <w:num w:numId="104">
    <w:abstractNumId w:val="180"/>
  </w:num>
  <w:num w:numId="105">
    <w:abstractNumId w:val="129"/>
  </w:num>
  <w:num w:numId="106">
    <w:abstractNumId w:val="95"/>
  </w:num>
  <w:num w:numId="107">
    <w:abstractNumId w:val="149"/>
  </w:num>
  <w:num w:numId="108">
    <w:abstractNumId w:val="120"/>
  </w:num>
  <w:num w:numId="109">
    <w:abstractNumId w:val="162"/>
  </w:num>
  <w:num w:numId="110">
    <w:abstractNumId w:val="78"/>
  </w:num>
  <w:num w:numId="111">
    <w:abstractNumId w:val="161"/>
  </w:num>
  <w:num w:numId="112">
    <w:abstractNumId w:val="9"/>
  </w:num>
  <w:num w:numId="113">
    <w:abstractNumId w:val="140"/>
  </w:num>
  <w:num w:numId="114">
    <w:abstractNumId w:val="101"/>
  </w:num>
  <w:num w:numId="115">
    <w:abstractNumId w:val="174"/>
  </w:num>
  <w:num w:numId="116">
    <w:abstractNumId w:val="142"/>
  </w:num>
  <w:num w:numId="117">
    <w:abstractNumId w:val="165"/>
  </w:num>
  <w:num w:numId="118">
    <w:abstractNumId w:val="46"/>
  </w:num>
  <w:num w:numId="119">
    <w:abstractNumId w:val="170"/>
  </w:num>
  <w:num w:numId="120">
    <w:abstractNumId w:val="128"/>
  </w:num>
  <w:num w:numId="121">
    <w:abstractNumId w:val="109"/>
  </w:num>
  <w:num w:numId="122">
    <w:abstractNumId w:val="49"/>
  </w:num>
  <w:num w:numId="123">
    <w:abstractNumId w:val="31"/>
  </w:num>
  <w:num w:numId="124">
    <w:abstractNumId w:val="172"/>
  </w:num>
  <w:num w:numId="125">
    <w:abstractNumId w:val="121"/>
  </w:num>
  <w:num w:numId="126">
    <w:abstractNumId w:val="134"/>
  </w:num>
  <w:num w:numId="127">
    <w:abstractNumId w:val="135"/>
  </w:num>
  <w:num w:numId="128">
    <w:abstractNumId w:val="119"/>
  </w:num>
  <w:num w:numId="129">
    <w:abstractNumId w:val="51"/>
  </w:num>
  <w:num w:numId="130">
    <w:abstractNumId w:val="72"/>
  </w:num>
  <w:num w:numId="131">
    <w:abstractNumId w:val="21"/>
  </w:num>
  <w:num w:numId="132">
    <w:abstractNumId w:val="133"/>
  </w:num>
  <w:num w:numId="133">
    <w:abstractNumId w:val="113"/>
  </w:num>
  <w:num w:numId="134">
    <w:abstractNumId w:val="56"/>
  </w:num>
  <w:num w:numId="135">
    <w:abstractNumId w:val="83"/>
  </w:num>
  <w:num w:numId="136">
    <w:abstractNumId w:val="166"/>
  </w:num>
  <w:num w:numId="137">
    <w:abstractNumId w:val="182"/>
  </w:num>
  <w:num w:numId="138">
    <w:abstractNumId w:val="64"/>
  </w:num>
  <w:num w:numId="139">
    <w:abstractNumId w:val="183"/>
  </w:num>
  <w:num w:numId="140">
    <w:abstractNumId w:val="88"/>
  </w:num>
  <w:num w:numId="141">
    <w:abstractNumId w:val="54"/>
  </w:num>
  <w:num w:numId="142">
    <w:abstractNumId w:val="27"/>
  </w:num>
  <w:num w:numId="143">
    <w:abstractNumId w:val="24"/>
  </w:num>
  <w:num w:numId="144">
    <w:abstractNumId w:val="147"/>
  </w:num>
  <w:num w:numId="145">
    <w:abstractNumId w:val="85"/>
  </w:num>
  <w:num w:numId="146">
    <w:abstractNumId w:val="79"/>
  </w:num>
  <w:num w:numId="147">
    <w:abstractNumId w:val="81"/>
  </w:num>
  <w:num w:numId="148">
    <w:abstractNumId w:val="118"/>
  </w:num>
  <w:num w:numId="149">
    <w:abstractNumId w:val="58"/>
  </w:num>
  <w:num w:numId="150">
    <w:abstractNumId w:val="86"/>
  </w:num>
  <w:num w:numId="151">
    <w:abstractNumId w:val="10"/>
  </w:num>
  <w:num w:numId="152">
    <w:abstractNumId w:val="157"/>
  </w:num>
  <w:num w:numId="153">
    <w:abstractNumId w:val="112"/>
  </w:num>
  <w:num w:numId="154">
    <w:abstractNumId w:val="177"/>
  </w:num>
  <w:num w:numId="155">
    <w:abstractNumId w:val="163"/>
  </w:num>
  <w:num w:numId="156">
    <w:abstractNumId w:val="97"/>
  </w:num>
  <w:num w:numId="157">
    <w:abstractNumId w:val="44"/>
  </w:num>
  <w:num w:numId="158">
    <w:abstractNumId w:val="115"/>
  </w:num>
  <w:num w:numId="159">
    <w:abstractNumId w:val="50"/>
  </w:num>
  <w:num w:numId="160">
    <w:abstractNumId w:val="96"/>
  </w:num>
  <w:num w:numId="161">
    <w:abstractNumId w:val="23"/>
  </w:num>
  <w:num w:numId="162">
    <w:abstractNumId w:val="155"/>
  </w:num>
  <w:num w:numId="163">
    <w:abstractNumId w:val="69"/>
  </w:num>
  <w:num w:numId="164">
    <w:abstractNumId w:val="106"/>
  </w:num>
  <w:num w:numId="165">
    <w:abstractNumId w:val="42"/>
  </w:num>
  <w:num w:numId="166">
    <w:abstractNumId w:val="148"/>
  </w:num>
  <w:num w:numId="167">
    <w:abstractNumId w:val="158"/>
  </w:num>
  <w:num w:numId="168">
    <w:abstractNumId w:val="91"/>
  </w:num>
  <w:num w:numId="169">
    <w:abstractNumId w:val="13"/>
  </w:num>
  <w:num w:numId="170">
    <w:abstractNumId w:val="126"/>
  </w:num>
  <w:num w:numId="171">
    <w:abstractNumId w:val="145"/>
  </w:num>
  <w:num w:numId="172">
    <w:abstractNumId w:val="117"/>
  </w:num>
  <w:num w:numId="173">
    <w:abstractNumId w:val="19"/>
  </w:num>
  <w:num w:numId="174">
    <w:abstractNumId w:val="36"/>
  </w:num>
  <w:num w:numId="175">
    <w:abstractNumId w:val="15"/>
  </w:num>
  <w:num w:numId="176">
    <w:abstractNumId w:val="65"/>
  </w:num>
  <w:num w:numId="177">
    <w:abstractNumId w:val="32"/>
    <w:lvlOverride w:ilvl="0">
      <w:startOverride w:val="31"/>
    </w:lvlOverride>
    <w:lvlOverride w:ilvl="1">
      <w:startOverride w:val="2"/>
    </w:lvlOverride>
  </w:num>
  <w:num w:numId="178">
    <w:abstractNumId w:val="26"/>
  </w:num>
  <w:num w:numId="179">
    <w:abstractNumId w:val="90"/>
  </w:num>
  <w:num w:numId="180">
    <w:abstractNumId w:val="70"/>
  </w:num>
  <w:num w:numId="181">
    <w:abstractNumId w:val="57"/>
  </w:num>
  <w:num w:numId="182">
    <w:abstractNumId w:val="71"/>
  </w:num>
  <w:num w:numId="183">
    <w:abstractNumId w:val="43"/>
  </w:num>
  <w:num w:numId="184">
    <w:abstractNumId w:val="80"/>
  </w:num>
  <w:num w:numId="185">
    <w:abstractNumId w:val="103"/>
  </w:num>
  <w:num w:numId="186">
    <w:abstractNumId w:val="33"/>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EC" w:vendorID="64" w:dllVersion="0" w:nlCheck="1" w:checkStyle="0"/>
  <w:activeWritingStyle w:appName="MSWord" w:lang="es-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084054-FB78-A941-9FE1-4BB2713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1"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Document Header1,ClauseGroup_Title"/>
    <w:basedOn w:val="Normal"/>
    <w:next w:val="Normal"/>
    <w:link w:val="Ttulo1Car"/>
    <w:uiPriority w:val="1"/>
    <w:qFormat/>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link w:val="Header1-ClausesChar"/>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16"/>
      </w:numPr>
      <w:spacing w:after="200"/>
      <w:jc w:val="both"/>
    </w:pPr>
    <w:rPr>
      <w:rFonts w:cs="Arial"/>
    </w:rPr>
  </w:style>
  <w:style w:type="paragraph" w:customStyle="1" w:styleId="P3Header1-Clauses">
    <w:name w:val="P3 Header1-Clauses"/>
    <w:basedOn w:val="Header1-Clauses"/>
    <w:pPr>
      <w:numPr>
        <w:ilvl w:val="2"/>
        <w:numId w:val="16"/>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pPr>
      <w:spacing w:before="120"/>
      <w:ind w:left="180"/>
      <w:jc w:val="both"/>
    </w:pPr>
    <w:rPr>
      <w:i/>
      <w:kern w:val="28"/>
      <w:sz w:val="20"/>
      <w:szCs w:val="20"/>
    </w:rPr>
  </w:style>
  <w:style w:type="paragraph" w:customStyle="1" w:styleId="Outlinei">
    <w:name w:val="Outline i)"/>
    <w:basedOn w:val="Normal"/>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pPr>
      <w:spacing w:before="120"/>
      <w:jc w:val="both"/>
    </w:pPr>
    <w:rPr>
      <w:rFonts w:ascii="Century Gothic" w:hAnsi="Century Gothic"/>
      <w:b/>
      <w:sz w:val="22"/>
    </w:rPr>
  </w:style>
  <w:style w:type="paragraph" w:styleId="TDC2">
    <w:name w:val="toc 2"/>
    <w:basedOn w:val="Normal"/>
    <w:next w:val="Normal"/>
    <w:autoRedefine/>
    <w:uiPriority w:val="39"/>
    <w:qFormat/>
    <w:pPr>
      <w:ind w:left="240"/>
      <w:jc w:val="both"/>
    </w:pPr>
    <w:rPr>
      <w:rFonts w:ascii="Century Gothic" w:hAnsi="Century Gothic"/>
      <w:b/>
      <w:sz w:val="22"/>
      <w:szCs w:val="22"/>
    </w:rPr>
  </w:style>
  <w:style w:type="paragraph" w:customStyle="1" w:styleId="i">
    <w:name w:val="(i)"/>
    <w:basedOn w:val="Normal"/>
    <w:pPr>
      <w:suppressAutoHyphens/>
      <w:jc w:val="both"/>
    </w:pPr>
    <w:rPr>
      <w:sz w:val="20"/>
      <w:szCs w:val="20"/>
    </w:rPr>
  </w:style>
  <w:style w:type="paragraph" w:styleId="Encabezado">
    <w:name w:val="header"/>
    <w:aliases w:val="Encabezado 2,encabezado"/>
    <w:basedOn w:val="Normal"/>
    <w:link w:val="EncabezadoCar"/>
    <w:uiPriority w:val="99"/>
    <w:pPr>
      <w:pBdr>
        <w:bottom w:val="single" w:sz="4" w:space="1" w:color="000000"/>
      </w:pBdr>
      <w:tabs>
        <w:tab w:val="right" w:pos="9000"/>
      </w:tabs>
      <w:jc w:val="both"/>
    </w:pPr>
    <w:rPr>
      <w:rFonts w:ascii="Arial" w:hAnsi="Arial"/>
      <w:sz w:val="20"/>
      <w:szCs w:val="20"/>
    </w:rPr>
  </w:style>
  <w:style w:type="character" w:styleId="Nmerodepgina">
    <w:name w:val="page number"/>
    <w:rPr>
      <w:rFonts w:ascii="Times New Roman" w:hAnsi="Times New Roman"/>
      <w:sz w:val="20"/>
    </w:rPr>
  </w:style>
  <w:style w:type="paragraph" w:customStyle="1" w:styleId="TOCNumber1">
    <w:name w:val="TOC Number1"/>
    <w:basedOn w:val="Ttulo4"/>
    <w:autoRedefine/>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pPr>
      <w:jc w:val="both"/>
    </w:pPr>
    <w:rPr>
      <w:b/>
      <w:bCs/>
      <w:lang w:val="es-ES_tradnl"/>
    </w:rPr>
  </w:style>
  <w:style w:type="paragraph" w:styleId="Textocomentario">
    <w:name w:val="annotation text"/>
    <w:basedOn w:val="Normal"/>
    <w:link w:val="TextocomentarioCar"/>
    <w:uiPriority w:val="99"/>
    <w:rPr>
      <w:rFonts w:ascii="Arial" w:hAnsi="Arial"/>
      <w:sz w:val="20"/>
      <w:szCs w:val="20"/>
    </w:rPr>
  </w:style>
  <w:style w:type="paragraph" w:styleId="Descripcin">
    <w:name w:val="caption"/>
    <w:aliases w:val="Figura"/>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1"/>
    <w:qFormat/>
    <w:rPr>
      <w:rFonts w:ascii="Arial" w:hAnsi="Arial" w:cs="Arial"/>
      <w:sz w:val="20"/>
    </w:rPr>
  </w:style>
  <w:style w:type="paragraph" w:customStyle="1" w:styleId="Head2">
    <w:name w:val="Head 2"/>
    <w:basedOn w:val="Ttulo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pPr>
      <w:jc w:val="center"/>
    </w:pPr>
    <w:rPr>
      <w:rFonts w:ascii="Arial" w:hAnsi="Arial"/>
      <w:b/>
      <w:sz w:val="36"/>
      <w:szCs w:val="20"/>
      <w:lang w:val="es-ES_tradnl"/>
    </w:rPr>
  </w:style>
  <w:style w:type="paragraph" w:styleId="ndice1">
    <w:name w:val="index 1"/>
    <w:basedOn w:val="Normal"/>
    <w:next w:val="Normal"/>
    <w:autoRedefine/>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uiPriority w:val="99"/>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Textodeglobo">
    <w:name w:val="Balloon Text"/>
    <w:basedOn w:val="Normal"/>
    <w:link w:val="TextodegloboCar"/>
    <w:uiPriority w:val="99"/>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uiPriority w:val="99"/>
    <w:pPr>
      <w:numPr>
        <w:numId w:val="8"/>
      </w:numPr>
    </w:pPr>
    <w:rPr>
      <w:sz w:val="20"/>
      <w:szCs w:val="20"/>
    </w:rPr>
  </w:style>
  <w:style w:type="paragraph" w:styleId="Listaconvietas2">
    <w:name w:val="List Bullet 2"/>
    <w:basedOn w:val="Normal"/>
    <w:autoRedefine/>
    <w:uiPriority w:val="99"/>
    <w:pPr>
      <w:numPr>
        <w:numId w:val="9"/>
      </w:numPr>
    </w:pPr>
    <w:rPr>
      <w:sz w:val="20"/>
      <w:szCs w:val="20"/>
    </w:rPr>
  </w:style>
  <w:style w:type="paragraph" w:styleId="Listaconvietas3">
    <w:name w:val="List Bullet 3"/>
    <w:basedOn w:val="Normal"/>
    <w:autoRedefine/>
    <w:uiPriority w:val="99"/>
    <w:pPr>
      <w:numPr>
        <w:numId w:val="10"/>
      </w:numPr>
    </w:pPr>
    <w:rPr>
      <w:sz w:val="20"/>
      <w:szCs w:val="20"/>
    </w:rPr>
  </w:style>
  <w:style w:type="paragraph" w:styleId="Listaconvietas4">
    <w:name w:val="List Bullet 4"/>
    <w:basedOn w:val="Normal"/>
    <w:autoRedefine/>
    <w:uiPriority w:val="99"/>
    <w:pPr>
      <w:tabs>
        <w:tab w:val="num" w:pos="1440"/>
      </w:tabs>
      <w:ind w:left="1440" w:hanging="360"/>
    </w:pPr>
    <w:rPr>
      <w:sz w:val="20"/>
      <w:szCs w:val="20"/>
    </w:rPr>
  </w:style>
  <w:style w:type="paragraph" w:styleId="Listaconvietas5">
    <w:name w:val="List Bullet 5"/>
    <w:basedOn w:val="Normal"/>
    <w:autoRedefine/>
    <w:uiPriority w:val="99"/>
    <w:pPr>
      <w:numPr>
        <w:numId w:val="11"/>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uiPriority w:val="99"/>
    <w:pPr>
      <w:numPr>
        <w:numId w:val="12"/>
      </w:numPr>
    </w:pPr>
    <w:rPr>
      <w:sz w:val="20"/>
      <w:szCs w:val="20"/>
    </w:rPr>
  </w:style>
  <w:style w:type="paragraph" w:styleId="Listaconnmeros3">
    <w:name w:val="List Number 3"/>
    <w:basedOn w:val="Normal"/>
    <w:uiPriority w:val="99"/>
    <w:pPr>
      <w:numPr>
        <w:numId w:val="13"/>
      </w:numPr>
    </w:pPr>
    <w:rPr>
      <w:sz w:val="20"/>
      <w:szCs w:val="20"/>
    </w:rPr>
  </w:style>
  <w:style w:type="paragraph" w:styleId="Listaconnmeros4">
    <w:name w:val="List Number 4"/>
    <w:basedOn w:val="Normal"/>
    <w:uiPriority w:val="99"/>
    <w:pPr>
      <w:numPr>
        <w:numId w:val="14"/>
      </w:numPr>
    </w:pPr>
    <w:rPr>
      <w:sz w:val="20"/>
      <w:szCs w:val="20"/>
    </w:rPr>
  </w:style>
  <w:style w:type="paragraph" w:styleId="Listaconnmeros5">
    <w:name w:val="List Number 5"/>
    <w:basedOn w:val="Normal"/>
    <w:uiPriority w:val="99"/>
    <w:pPr>
      <w:numPr>
        <w:numId w:val="15"/>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uiPriority w:val="99"/>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uiPriority w:val="99"/>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pPr>
      <w:spacing w:after="120"/>
      <w:ind w:left="720"/>
    </w:pPr>
  </w:style>
  <w:style w:type="paragraph" w:styleId="Continuarlista3">
    <w:name w:val="List Continue 3"/>
    <w:basedOn w:val="Normal"/>
    <w:uiPriority w:val="99"/>
    <w:pPr>
      <w:spacing w:after="120"/>
      <w:ind w:left="1080"/>
    </w:pPr>
  </w:style>
  <w:style w:type="paragraph" w:customStyle="1" w:styleId="Enclosure">
    <w:name w:val="Enclosure"/>
    <w:basedOn w:val="Normal"/>
  </w:style>
  <w:style w:type="paragraph" w:styleId="Sangranormal">
    <w:name w:val="Normal Indent"/>
    <w:basedOn w:val="Normal"/>
    <w:uiPriority w:val="99"/>
    <w:pPr>
      <w:ind w:left="720"/>
    </w:pPr>
  </w:style>
  <w:style w:type="character" w:styleId="Hipervnculovisitado">
    <w:name w:val="FollowedHyperlink"/>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rPr>
      <w:sz w:val="20"/>
      <w:szCs w:val="20"/>
    </w:rPr>
  </w:style>
  <w:style w:type="character" w:styleId="Refdenotaalpie">
    <w:name w:val="footnote reference"/>
    <w:aliases w:val="Ref,de nota al pie,titulo 2,Style 24,pie pddes"/>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Times New Roman" w:hAnsi="Times New Roman"/>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C"/>
    <w:basedOn w:val="Normal"/>
    <w:link w:val="TextonotapieC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pPr>
      <w:spacing w:before="3120" w:after="240"/>
      <w:jc w:val="center"/>
    </w:pPr>
    <w:rPr>
      <w:b/>
      <w:sz w:val="48"/>
      <w:szCs w:val="20"/>
    </w:rPr>
  </w:style>
  <w:style w:type="paragraph" w:customStyle="1" w:styleId="plane">
    <w:name w:val="plane"/>
    <w:basedOn w:val="Normal"/>
    <w:uiPriority w:val="99"/>
    <w:pPr>
      <w:suppressAutoHyphens/>
      <w:jc w:val="both"/>
    </w:pPr>
    <w:rPr>
      <w:szCs w:val="20"/>
    </w:rPr>
  </w:style>
  <w:style w:type="paragraph" w:customStyle="1" w:styleId="S8Header1">
    <w:name w:val="S8 Header 1"/>
    <w:basedOn w:val="Normal"/>
    <w:next w:val="Normal"/>
    <w:uiPriority w:val="99"/>
    <w:pPr>
      <w:spacing w:before="120" w:after="200"/>
      <w:jc w:val="both"/>
    </w:pPr>
    <w:rPr>
      <w:b/>
      <w:szCs w:val="20"/>
    </w:rPr>
  </w:style>
  <w:style w:type="paragraph" w:customStyle="1" w:styleId="S1-Header1">
    <w:name w:val="S1-Header1"/>
    <w:basedOn w:val="Normal"/>
    <w:link w:val="S1-Header1Car"/>
    <w:pPr>
      <w:numPr>
        <w:numId w:val="17"/>
      </w:numPr>
      <w:spacing w:before="240" w:after="240"/>
      <w:jc w:val="center"/>
    </w:pPr>
    <w:rPr>
      <w:b/>
      <w:sz w:val="28"/>
    </w:rPr>
  </w:style>
  <w:style w:type="paragraph" w:customStyle="1" w:styleId="S1-Header2">
    <w:name w:val="S1-Header2"/>
    <w:basedOn w:val="Normal"/>
    <w:link w:val="S1-Header2Car"/>
    <w:pPr>
      <w:numPr>
        <w:numId w:val="16"/>
      </w:numPr>
      <w:spacing w:after="200"/>
    </w:pPr>
    <w:rPr>
      <w:b/>
    </w:rPr>
  </w:style>
  <w:style w:type="paragraph" w:customStyle="1" w:styleId="StyleHeader2-SubClausesItalic">
    <w:name w:val="Style Header 2 - SubClauses + Italic"/>
    <w:basedOn w:val="Header2-SubClauses"/>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pPr>
      <w:numPr>
        <w:ilvl w:val="0"/>
        <w:numId w:val="0"/>
      </w:numPr>
    </w:pPr>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qFormat/>
    <w:pPr>
      <w:ind w:left="480"/>
      <w:jc w:val="both"/>
    </w:pPr>
    <w:rPr>
      <w:rFonts w:ascii="Century Gothic" w:hAnsi="Century Gothic"/>
      <w:sz w:val="22"/>
      <w:szCs w:val="22"/>
    </w:rPr>
  </w:style>
  <w:style w:type="paragraph" w:styleId="TDC4">
    <w:name w:val="toc 4"/>
    <w:basedOn w:val="Normal"/>
    <w:next w:val="Normal"/>
    <w:autoRedefine/>
    <w:uiPriority w:val="39"/>
    <w:pPr>
      <w:ind w:left="720"/>
    </w:pPr>
    <w:rPr>
      <w:rFonts w:asciiTheme="minorHAnsi" w:hAnsiTheme="minorHAnsi"/>
      <w:sz w:val="20"/>
      <w:szCs w:val="20"/>
    </w:rPr>
  </w:style>
  <w:style w:type="paragraph" w:styleId="TDC5">
    <w:name w:val="toc 5"/>
    <w:basedOn w:val="Normal"/>
    <w:next w:val="Normal"/>
    <w:autoRedefine/>
    <w:uiPriority w:val="39"/>
    <w:pPr>
      <w:ind w:left="960"/>
    </w:pPr>
    <w:rPr>
      <w:rFonts w:asciiTheme="minorHAnsi" w:hAnsiTheme="minorHAnsi"/>
      <w:sz w:val="20"/>
      <w:szCs w:val="20"/>
    </w:rPr>
  </w:style>
  <w:style w:type="paragraph" w:styleId="TDC6">
    <w:name w:val="toc 6"/>
    <w:basedOn w:val="Normal"/>
    <w:next w:val="Normal"/>
    <w:autoRedefine/>
    <w:uiPriority w:val="39"/>
    <w:pPr>
      <w:ind w:left="1200"/>
    </w:pPr>
    <w:rPr>
      <w:rFonts w:asciiTheme="minorHAnsi" w:hAnsiTheme="minorHAnsi"/>
      <w:sz w:val="20"/>
      <w:szCs w:val="20"/>
    </w:rPr>
  </w:style>
  <w:style w:type="paragraph" w:styleId="TDC7">
    <w:name w:val="toc 7"/>
    <w:basedOn w:val="Normal"/>
    <w:next w:val="Normal"/>
    <w:autoRedefine/>
    <w:uiPriority w:val="39"/>
    <w:pPr>
      <w:ind w:left="1440"/>
    </w:pPr>
    <w:rPr>
      <w:rFonts w:asciiTheme="minorHAnsi" w:hAnsiTheme="minorHAnsi"/>
      <w:sz w:val="20"/>
      <w:szCs w:val="20"/>
    </w:rPr>
  </w:style>
  <w:style w:type="paragraph" w:styleId="TDC8">
    <w:name w:val="toc 8"/>
    <w:basedOn w:val="Normal"/>
    <w:next w:val="Normal"/>
    <w:autoRedefine/>
    <w:uiPriority w:val="39"/>
    <w:pPr>
      <w:ind w:left="1680"/>
    </w:pPr>
    <w:rPr>
      <w:rFonts w:asciiTheme="minorHAnsi" w:hAnsiTheme="minorHAnsi"/>
      <w:sz w:val="20"/>
      <w:szCs w:val="20"/>
    </w:rPr>
  </w:style>
  <w:style w:type="paragraph" w:styleId="TDC9">
    <w:name w:val="toc 9"/>
    <w:basedOn w:val="Normal"/>
    <w:next w:val="Normal"/>
    <w:autoRedefine/>
    <w:uiPriority w:val="39"/>
    <w:pPr>
      <w:ind w:left="1920"/>
    </w:pPr>
    <w:rPr>
      <w:rFonts w:asciiTheme="minorHAnsi" w:hAnsiTheme="minorHAnsi"/>
      <w:sz w:val="20"/>
      <w:szCs w:val="20"/>
    </w:rPr>
  </w:style>
  <w:style w:type="paragraph" w:customStyle="1" w:styleId="S4Header">
    <w:name w:val="S4 Header"/>
    <w:basedOn w:val="Normal"/>
    <w:next w:val="Normal"/>
    <w:link w:val="S4HeaderChar"/>
    <w:uiPriority w:val="99"/>
    <w:pPr>
      <w:spacing w:before="120" w:after="240"/>
      <w:jc w:val="center"/>
    </w:pPr>
    <w:rPr>
      <w:b/>
      <w:sz w:val="32"/>
      <w:szCs w:val="20"/>
    </w:rPr>
  </w:style>
  <w:style w:type="paragraph" w:customStyle="1" w:styleId="S4-header1">
    <w:name w:val="S4-header1"/>
    <w:basedOn w:val="Normal"/>
    <w:link w:val="S4-header1Car"/>
    <w:pPr>
      <w:spacing w:before="120" w:after="240"/>
      <w:jc w:val="center"/>
    </w:pPr>
    <w:rPr>
      <w:b/>
      <w:sz w:val="36"/>
      <w:szCs w:val="20"/>
    </w:rPr>
  </w:style>
  <w:style w:type="paragraph" w:customStyle="1" w:styleId="S4-Header10">
    <w:name w:val="S4-Header 1"/>
    <w:basedOn w:val="Normal"/>
    <w:next w:val="Normal"/>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pPr>
      <w:tabs>
        <w:tab w:val="left" w:pos="576"/>
      </w:tabs>
      <w:spacing w:after="200"/>
      <w:ind w:left="576" w:hanging="576"/>
      <w:jc w:val="both"/>
    </w:pPr>
    <w:rPr>
      <w:szCs w:val="20"/>
      <w:lang w:val="es-ES_tradnl"/>
    </w:r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link w:val="S6-Header1C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uiPriority w:val="99"/>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ar"/>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ar"/>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Pr>
      <w:b/>
      <w:bCs/>
      <w:sz w:val="24"/>
      <w:lang w:val="es-ES_tradnl" w:eastAsia="en-US" w:bidi="ar-SA"/>
    </w:rPr>
  </w:style>
  <w:style w:type="paragraph" w:styleId="Encabezadodelista">
    <w:name w:val="toa heading"/>
    <w:basedOn w:val="Normal"/>
    <w:next w:val="Normal"/>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style>
  <w:style w:type="paragraph" w:customStyle="1" w:styleId="Style11">
    <w:name w:val="Style 11"/>
    <w:basedOn w:val="Normal"/>
    <w:pPr>
      <w:widowControl w:val="0"/>
      <w:autoSpaceDE w:val="0"/>
      <w:autoSpaceDN w:val="0"/>
      <w:spacing w:line="384" w:lineRule="atLeast"/>
    </w:pPr>
  </w:style>
  <w:style w:type="paragraph" w:customStyle="1" w:styleId="Sec3header">
    <w:name w:val="Sec3 header"/>
    <w:basedOn w:val="Style11"/>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pPr>
      <w:ind w:left="720"/>
      <w:contextualSpacing/>
      <w:jc w:val="both"/>
    </w:pPr>
    <w:rPr>
      <w:szCs w:val="20"/>
    </w:rPr>
  </w:style>
  <w:style w:type="character" w:customStyle="1" w:styleId="EncabezadoCar">
    <w:name w:val="Encabezado Car"/>
    <w:aliases w:val="Encabezado 2 Car,encabezado Car"/>
    <w:link w:val="Encabezado"/>
    <w:uiPriority w:val="99"/>
    <w:rPr>
      <w:rFonts w:ascii="Arial" w:hAnsi="Arial"/>
    </w:rPr>
  </w:style>
  <w:style w:type="paragraph" w:customStyle="1" w:styleId="Header1">
    <w:name w:val="Header1"/>
    <w:basedOn w:val="Normal"/>
    <w:pPr>
      <w:widowControl w:val="0"/>
      <w:autoSpaceDE w:val="0"/>
      <w:autoSpaceDN w:val="0"/>
      <w:spacing w:before="240" w:after="480"/>
      <w:jc w:val="center"/>
    </w:pPr>
    <w:rPr>
      <w:b/>
      <w:bCs/>
      <w:spacing w:val="4"/>
      <w:sz w:val="44"/>
      <w:szCs w:val="46"/>
    </w:rPr>
  </w:style>
  <w:style w:type="paragraph" w:customStyle="1" w:styleId="Default">
    <w:name w:val="Default"/>
    <w:pPr>
      <w:autoSpaceDE w:val="0"/>
      <w:autoSpaceDN w:val="0"/>
      <w:adjustRightInd w:val="0"/>
    </w:pPr>
    <w:rPr>
      <w:color w:val="000000"/>
      <w:sz w:val="24"/>
      <w:szCs w:val="24"/>
    </w:rPr>
  </w:style>
  <w:style w:type="paragraph" w:customStyle="1" w:styleId="Section4heading">
    <w:name w:val="Section 4 heading"/>
    <w:basedOn w:val="Normal"/>
    <w:next w:val="Normal"/>
    <w:pPr>
      <w:widowControl w:val="0"/>
      <w:tabs>
        <w:tab w:val="left" w:leader="dot" w:pos="8748"/>
      </w:tabs>
      <w:autoSpaceDE w:val="0"/>
      <w:autoSpaceDN w:val="0"/>
      <w:spacing w:after="240"/>
      <w:jc w:val="center"/>
    </w:pPr>
    <w:rPr>
      <w:b/>
      <w:sz w:val="36"/>
    </w:rPr>
  </w:style>
  <w:style w:type="paragraph" w:customStyle="1" w:styleId="Style19">
    <w:name w:val="Style 19"/>
    <w:basedOn w:val="Normal"/>
    <w:pPr>
      <w:widowControl w:val="0"/>
      <w:autoSpaceDE w:val="0"/>
      <w:autoSpaceDN w:val="0"/>
      <w:adjustRightInd w:val="0"/>
    </w:pPr>
  </w:style>
  <w:style w:type="paragraph" w:customStyle="1" w:styleId="Style17">
    <w:name w:val="Style 17"/>
    <w:basedOn w:val="Normal"/>
    <w:pPr>
      <w:widowControl w:val="0"/>
      <w:autoSpaceDE w:val="0"/>
      <w:autoSpaceDN w:val="0"/>
      <w:spacing w:line="264" w:lineRule="exact"/>
      <w:ind w:left="576" w:hanging="360"/>
    </w:pPr>
  </w:style>
  <w:style w:type="paragraph" w:customStyle="1" w:styleId="Style20">
    <w:name w:val="Style 20"/>
    <w:basedOn w:val="Normal"/>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pPr>
      <w:tabs>
        <w:tab w:val="left" w:pos="-720"/>
      </w:tabs>
      <w:suppressAutoHyphens/>
    </w:pPr>
    <w:rPr>
      <w:sz w:val="22"/>
    </w:rPr>
  </w:style>
  <w:style w:type="paragraph" w:customStyle="1" w:styleId="TextBox">
    <w:name w:val="Text Box"/>
    <w:pPr>
      <w:keepNext/>
      <w:keepLines/>
      <w:tabs>
        <w:tab w:val="left" w:pos="-720"/>
      </w:tabs>
      <w:suppressAutoHyphens/>
      <w:jc w:val="both"/>
    </w:pPr>
    <w:rPr>
      <w:spacing w:val="-2"/>
      <w:sz w:val="22"/>
    </w:rPr>
  </w:style>
  <w:style w:type="paragraph" w:customStyle="1" w:styleId="Heading1a">
    <w:name w:val="Heading 1a"/>
    <w:pPr>
      <w:keepNext/>
      <w:keepLines/>
      <w:tabs>
        <w:tab w:val="left" w:pos="-720"/>
      </w:tabs>
      <w:suppressAutoHyphens/>
      <w:jc w:val="center"/>
    </w:pPr>
    <w:rPr>
      <w:b/>
      <w:smallCaps/>
      <w:sz w:val="32"/>
    </w:rPr>
  </w:style>
  <w:style w:type="paragraph" w:styleId="Textonotaalfinal">
    <w:name w:val="endnote text"/>
    <w:basedOn w:val="Normal"/>
    <w:link w:val="TextonotaalfinalCar"/>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style>
  <w:style w:type="paragraph" w:customStyle="1" w:styleId="SectionVHeading2">
    <w:name w:val="Section V. Heading 2"/>
    <w:basedOn w:val="SectionVHeader"/>
    <w:uiPriority w:val="99"/>
    <w:pPr>
      <w:spacing w:before="120" w:after="200"/>
    </w:pPr>
    <w:rPr>
      <w:rFonts w:ascii="Times New Roman" w:hAnsi="Times New Roman"/>
      <w:sz w:val="28"/>
    </w:rPr>
  </w:style>
  <w:style w:type="character" w:customStyle="1" w:styleId="PiedepginaCar">
    <w:name w:val="Pie de página Car"/>
    <w:link w:val="Piedepgina"/>
    <w:uiPriority w:val="99"/>
    <w:rPr>
      <w:rFonts w:ascii="Arial" w:hAnsi="Arial"/>
    </w:rPr>
  </w:style>
  <w:style w:type="character" w:customStyle="1" w:styleId="TextoindependienteCar">
    <w:name w:val="Texto independiente Car"/>
    <w:link w:val="Textoindependiente"/>
    <w:rPr>
      <w:rFonts w:ascii="Arial" w:hAnsi="Arial" w:cs="Arial"/>
      <w:szCs w:val="24"/>
    </w:rPr>
  </w:style>
  <w:style w:type="character" w:customStyle="1" w:styleId="MediumGrid1-Accent2Char">
    <w:name w:val="Medium Grid 1 - Accent 2 Char"/>
    <w:link w:val="MediumGrid1-Accent21"/>
    <w:uiPriority w:val="34"/>
    <w:rPr>
      <w:sz w:val="24"/>
    </w:rPr>
  </w:style>
  <w:style w:type="paragraph" w:customStyle="1" w:styleId="Sec1-Clauses">
    <w:name w:val="Sec1-Clauses"/>
    <w:basedOn w:val="Normal"/>
    <w:link w:val="Sec1-ClausesCar"/>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pPr>
      <w:ind w:left="720"/>
      <w:contextualSpacing/>
      <w:jc w:val="both"/>
    </w:pPr>
  </w:style>
  <w:style w:type="paragraph" w:customStyle="1" w:styleId="ColorfulShading-Accent11">
    <w:name w:val="Colorful Shading - Accent 11"/>
    <w:hidden/>
    <w:uiPriority w:val="71"/>
    <w:rPr>
      <w:sz w:val="24"/>
      <w:szCs w:val="24"/>
    </w:rPr>
  </w:style>
  <w:style w:type="paragraph" w:customStyle="1" w:styleId="ColorfulShading-Accent12">
    <w:name w:val="Colorful Shading - Accent 12"/>
    <w:hidden/>
    <w:uiPriority w:val="62"/>
    <w:rPr>
      <w:sz w:val="24"/>
      <w:szCs w:val="24"/>
    </w:rPr>
  </w:style>
  <w:style w:type="paragraph" w:styleId="Revisin">
    <w:name w:val="Revision"/>
    <w:hidden/>
    <w:uiPriority w:val="99"/>
    <w:unhideWhenUsed/>
    <w:rPr>
      <w:sz w:val="24"/>
      <w:szCs w:val="24"/>
    </w:rPr>
  </w:style>
  <w:style w:type="paragraph" w:styleId="Prrafodelista">
    <w:name w:val="List Paragraph"/>
    <w:aliases w:val="Citation List,본문(내용),List Paragraph (numbered (a)),TIT 2 IND,tEXTO,Texto,Párrafo de Viñeta,List Paragraph,Use Case List Paragraph,cuadro ghf1,H,Párrafo de lista SUBCAPITULO,Bullet 1,Titulo parrafo,Titulo 1,Párrafo 3,AATITULO,INDICE,lp1"/>
    <w:basedOn w:val="Normal"/>
    <w:link w:val="PrrafodelistaCar"/>
    <w:uiPriority w:val="1"/>
    <w:qFormat/>
    <w:pPr>
      <w:ind w:left="720"/>
      <w:contextualSpacing/>
    </w:pPr>
  </w:style>
  <w:style w:type="paragraph" w:customStyle="1" w:styleId="xmsonormal">
    <w:name w:val="x_msonormal"/>
    <w:basedOn w:val="Normal"/>
    <w:pPr>
      <w:spacing w:before="100" w:beforeAutospacing="1" w:after="100" w:afterAutospacing="1"/>
    </w:pPr>
  </w:style>
  <w:style w:type="character" w:customStyle="1" w:styleId="apple-converted-space">
    <w:name w:val="apple-converted-space"/>
  </w:style>
  <w:style w:type="paragraph" w:customStyle="1" w:styleId="SubEvaCriteria">
    <w:name w:val="Sub Eva Criteria"/>
    <w:basedOn w:val="Normal"/>
    <w:autoRedefine/>
    <w:qFormat/>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Pr>
      <w:rFonts w:ascii="Times New Roman Bold" w:hAnsi="Times New Roman Bold"/>
      <w:b/>
    </w:rPr>
  </w:style>
  <w:style w:type="character" w:customStyle="1" w:styleId="PrrafodelistaCar">
    <w:name w:val="Párrafo de lista Car"/>
    <w:aliases w:val="Citation List Car,본문(내용) Car,List Paragraph (numbered (a)) Car,TIT 2 IND Car,tEXTO Car,Texto Car,Párrafo de Viñeta Car,List Paragraph Car,Use Case List Paragraph Car,cuadro ghf1 Car,H Car,Párrafo de lista SUBCAPITULO Car,INDICE Car"/>
    <w:basedOn w:val="Fuentedeprrafopredeter"/>
    <w:link w:val="Prrafodelista"/>
    <w:uiPriority w:val="34"/>
    <w:qFormat/>
    <w:rPr>
      <w:sz w:val="24"/>
      <w:szCs w:val="24"/>
    </w:rPr>
  </w:style>
  <w:style w:type="character" w:customStyle="1" w:styleId="SubheaderEvaCriChar">
    <w:name w:val="Subheader Eva Cri Char"/>
    <w:basedOn w:val="PrrafodelistaCar"/>
    <w:link w:val="SubheaderEvaCri"/>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Pr>
      <w:rFonts w:ascii="Times New Roman Bold" w:hAnsi="Times New Roman Bold"/>
      <w:b/>
      <w:noProof/>
      <w:sz w:val="28"/>
      <w:szCs w:val="24"/>
      <w:lang w:val="es-ES"/>
    </w:rPr>
  </w:style>
  <w:style w:type="paragraph" w:customStyle="1" w:styleId="Seccion">
    <w:name w:val="Seccion"/>
    <w:basedOn w:val="Ttulo1"/>
    <w:link w:val="SeccionChar"/>
    <w:qFormat/>
    <w:pPr>
      <w:jc w:val="center"/>
    </w:pPr>
    <w:rPr>
      <w:rFonts w:ascii="Times New Roman" w:hAnsi="Times New Roman"/>
      <w:sz w:val="44"/>
      <w:lang w:val="es-ES"/>
    </w:rPr>
  </w:style>
  <w:style w:type="paragraph" w:customStyle="1" w:styleId="Subseccion">
    <w:name w:val="Subseccion"/>
    <w:basedOn w:val="Subttulo"/>
    <w:link w:val="SubseccionChar"/>
    <w:qFormat/>
  </w:style>
  <w:style w:type="character" w:customStyle="1" w:styleId="Ttulo1Car">
    <w:name w:val="Título 1 Car"/>
    <w:aliases w:val="Document Header1 Car,ClauseGroup_Title Car"/>
    <w:basedOn w:val="Fuentedeprrafopredeter"/>
    <w:link w:val="Ttulo1"/>
    <w:uiPriority w:val="9"/>
    <w:rPr>
      <w:rFonts w:ascii="Arial" w:hAnsi="Arial" w:cs="Arial"/>
      <w:b/>
      <w:szCs w:val="24"/>
    </w:rPr>
  </w:style>
  <w:style w:type="character" w:customStyle="1" w:styleId="SeccionChar">
    <w:name w:val="Seccion Char"/>
    <w:basedOn w:val="Ttulo1Car"/>
    <w:link w:val="Seccion"/>
    <w:rPr>
      <w:rFonts w:ascii="Arial" w:hAnsi="Arial" w:cs="Arial"/>
      <w:b/>
      <w:sz w:val="44"/>
      <w:szCs w:val="24"/>
      <w:lang w:val="es-ES"/>
    </w:rPr>
  </w:style>
  <w:style w:type="paragraph" w:customStyle="1" w:styleId="Parte">
    <w:name w:val="Parte"/>
    <w:basedOn w:val="Ttulo1"/>
    <w:link w:val="ParteChar"/>
    <w:qFormat/>
    <w:pPr>
      <w:jc w:val="center"/>
    </w:pPr>
    <w:rPr>
      <w:rFonts w:ascii="Times New Roman" w:hAnsi="Times New Roman"/>
      <w:sz w:val="44"/>
    </w:rPr>
  </w:style>
  <w:style w:type="character" w:customStyle="1" w:styleId="SubttuloCar">
    <w:name w:val="Subtítulo Car"/>
    <w:basedOn w:val="Fuentedeprrafopredeter"/>
    <w:link w:val="Subttulo"/>
    <w:uiPriority w:val="11"/>
    <w:rPr>
      <w:b/>
      <w:sz w:val="36"/>
    </w:rPr>
  </w:style>
  <w:style w:type="character" w:customStyle="1" w:styleId="SubseccionChar">
    <w:name w:val="Subseccion Char"/>
    <w:basedOn w:val="SubttuloCar"/>
    <w:link w:val="Subseccion"/>
    <w:rPr>
      <w:b/>
      <w:sz w:val="36"/>
    </w:rPr>
  </w:style>
  <w:style w:type="character" w:customStyle="1" w:styleId="ParteChar">
    <w:name w:val="Parte Char"/>
    <w:basedOn w:val="Ttulo1Car"/>
    <w:link w:val="Parte"/>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Pr>
      <w:rFonts w:ascii="Arial" w:hAnsi="Arial" w:cs="Arial"/>
    </w:rPr>
  </w:style>
  <w:style w:type="paragraph" w:customStyle="1" w:styleId="SectionIHeader2">
    <w:name w:val="Section I. Header 2"/>
    <w:basedOn w:val="Prrafodelista"/>
    <w:qFormat/>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Pr>
      <w:b/>
      <w:noProof/>
      <w:sz w:val="28"/>
      <w:szCs w:val="24"/>
      <w:lang w:val="es-ES"/>
    </w:rPr>
  </w:style>
  <w:style w:type="paragraph" w:customStyle="1" w:styleId="AheaderTerciaryleve">
    <w:name w:val="Aheader Terciary leve"/>
    <w:basedOn w:val="Normal"/>
    <w:link w:val="AheaderTerciaryleveChar"/>
    <w:qFormat/>
    <w:pPr>
      <w:jc w:val="center"/>
    </w:pPr>
    <w:rPr>
      <w:b/>
      <w:noProof/>
      <w:sz w:val="28"/>
    </w:rPr>
  </w:style>
  <w:style w:type="character" w:customStyle="1" w:styleId="AheaderTerciaryleveChar">
    <w:name w:val="Aheader Terciary leve Char"/>
    <w:basedOn w:val="Fuentedeprrafopredeter"/>
    <w:link w:val="AheaderTerciaryleve"/>
    <w:rPr>
      <w:b/>
      <w:noProof/>
      <w:sz w:val="28"/>
      <w:szCs w:val="24"/>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pPr>
      <w:spacing w:after="200"/>
    </w:pPr>
    <w:rPr>
      <w:rFonts w:ascii="Times New Roman Bold" w:hAnsi="Times New Roman Bold"/>
      <w:b/>
      <w:szCs w:val="20"/>
    </w:rPr>
  </w:style>
  <w:style w:type="paragraph" w:customStyle="1" w:styleId="Atercernivel">
    <w:name w:val="Atercer nivel"/>
    <w:basedOn w:val="AheaderTerciaryleve"/>
    <w:qFormat/>
    <w:rPr>
      <w:lang w:val="es-AR"/>
    </w:rPr>
  </w:style>
  <w:style w:type="paragraph" w:styleId="HTMLconformatoprevio">
    <w:name w:val="HTML Preformatted"/>
    <w:basedOn w:val="Normal"/>
    <w:link w:val="HTMLconformatoprevio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Pr>
      <w:rFonts w:ascii="Courier New" w:hAnsi="Courier New" w:cs="Courier New"/>
    </w:rPr>
  </w:style>
  <w:style w:type="paragraph" w:customStyle="1" w:styleId="Style5">
    <w:name w:val="Style 5"/>
    <w:basedOn w:val="Normal"/>
    <w:pPr>
      <w:widowControl w:val="0"/>
      <w:autoSpaceDE w:val="0"/>
      <w:autoSpaceDN w:val="0"/>
      <w:spacing w:line="480" w:lineRule="exact"/>
      <w:jc w:val="center"/>
    </w:pPr>
  </w:style>
  <w:style w:type="paragraph" w:customStyle="1" w:styleId="Bulletroman">
    <w:name w:val="Bullet roman"/>
    <w:basedOn w:val="Prrafodelista"/>
    <w:autoRedefine/>
    <w:qFormat/>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style>
  <w:style w:type="character" w:customStyle="1" w:styleId="MapadeldocumentoCar">
    <w:name w:val="Mapa del documento Car"/>
    <w:basedOn w:val="Fuentedeprrafopredeter"/>
    <w:link w:val="Mapadeldocumento"/>
    <w:uiPriority w:val="99"/>
    <w:rPr>
      <w:sz w:val="24"/>
      <w:szCs w:val="24"/>
    </w:rPr>
  </w:style>
  <w:style w:type="paragraph" w:customStyle="1" w:styleId="Section8-Clauses">
    <w:name w:val="Section 8 - Clauses"/>
    <w:basedOn w:val="Normal"/>
    <w:qFormat/>
    <w:pPr>
      <w:spacing w:after="200"/>
      <w:ind w:left="360" w:hanging="360"/>
    </w:pPr>
    <w:rPr>
      <w:b/>
      <w:bCs/>
      <w:szCs w:val="20"/>
      <w:lang w:val="es-ES"/>
    </w:rPr>
  </w:style>
  <w:style w:type="character" w:customStyle="1" w:styleId="TtuloCar">
    <w:name w:val="Título Car"/>
    <w:link w:val="Ttulo"/>
    <w:uiPriority w:val="99"/>
    <w:rPr>
      <w:rFonts w:ascii="Arial" w:hAnsi="Arial"/>
      <w:b/>
      <w:sz w:val="48"/>
    </w:rPr>
  </w:style>
  <w:style w:type="character" w:customStyle="1" w:styleId="Sangra3detindependienteCar">
    <w:name w:val="Sangría 3 de t. independiente Car"/>
    <w:link w:val="Sangra3detindependiente"/>
    <w:rPr>
      <w:rFonts w:ascii="Arial" w:hAnsi="Arial" w:cs="Arial"/>
      <w:szCs w:val="24"/>
    </w:rPr>
  </w:style>
  <w:style w:type="paragraph" w:customStyle="1" w:styleId="Normali">
    <w:name w:val="Normal(i)"/>
    <w:basedOn w:val="Normal"/>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Pr>
      <w:b/>
      <w:bCs/>
    </w:rPr>
  </w:style>
  <w:style w:type="character" w:customStyle="1" w:styleId="Ttulo2Car">
    <w:name w:val="Título 2 Car"/>
    <w:aliases w:val="Section-Title Car,Title Header2 Car,Clause_No&amp;Name Car,Heading 2 Char Char Car"/>
    <w:basedOn w:val="Fuentedeprrafopredeter"/>
    <w:link w:val="Ttulo2"/>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Pr>
      <w:rFonts w:cs="Arial"/>
      <w:b/>
      <w:bCs/>
      <w:spacing w:val="-2"/>
      <w:sz w:val="16"/>
      <w:szCs w:val="24"/>
    </w:rPr>
  </w:style>
  <w:style w:type="character" w:customStyle="1" w:styleId="Ttulo5Car">
    <w:name w:val="Título 5 Car"/>
    <w:aliases w:val="Kop 5 Car"/>
    <w:basedOn w:val="Fuentedeprrafopredeter"/>
    <w:link w:val="Ttulo5"/>
    <w:rPr>
      <w:rFonts w:cs="Arial"/>
      <w:b/>
      <w:bCs/>
      <w:iCs/>
      <w:spacing w:val="-2"/>
      <w:sz w:val="24"/>
      <w:szCs w:val="24"/>
    </w:rPr>
  </w:style>
  <w:style w:type="character" w:customStyle="1" w:styleId="Ttulo6Car">
    <w:name w:val="Título 6 Car"/>
    <w:basedOn w:val="Fuentedeprrafopredeter"/>
    <w:link w:val="Ttulo6"/>
    <w:rPr>
      <w:rFonts w:ascii="Arial" w:hAnsi="Arial"/>
      <w:i/>
      <w:sz w:val="22"/>
    </w:rPr>
  </w:style>
  <w:style w:type="character" w:customStyle="1" w:styleId="Ttulo7Car">
    <w:name w:val="Título 7 Car"/>
    <w:basedOn w:val="Fuentedeprrafopredeter"/>
    <w:link w:val="Ttulo7"/>
    <w:rPr>
      <w:rFonts w:ascii="Arial" w:hAnsi="Arial"/>
    </w:rPr>
  </w:style>
  <w:style w:type="character" w:customStyle="1" w:styleId="Ttulo8Car">
    <w:name w:val="Título 8 Car"/>
    <w:basedOn w:val="Fuentedeprrafopredeter"/>
    <w:link w:val="Ttulo8"/>
    <w:rPr>
      <w:rFonts w:ascii="Arial" w:hAnsi="Arial"/>
      <w:i/>
    </w:rPr>
  </w:style>
  <w:style w:type="character" w:customStyle="1" w:styleId="Ttulo9Car">
    <w:name w:val="Título 9 Car"/>
    <w:basedOn w:val="Fuentedeprrafopredeter"/>
    <w:link w:val="Ttulo9"/>
    <w:rPr>
      <w:rFonts w:ascii="Arial" w:hAnsi="Arial"/>
      <w:b/>
      <w:i/>
      <w:sz w:val="18"/>
    </w:rPr>
  </w:style>
  <w:style w:type="character" w:customStyle="1" w:styleId="TextodegloboCar">
    <w:name w:val="Texto de globo Car"/>
    <w:basedOn w:val="Fuentedeprrafopredeter"/>
    <w:link w:val="Textodeglobo"/>
    <w:uiPriority w:val="99"/>
    <w:rPr>
      <w:rFonts w:ascii="Tahoma" w:hAnsi="Tahoma" w:cs="Tahoma"/>
      <w:sz w:val="16"/>
      <w:szCs w:val="16"/>
      <w:lang w:val="es-ES_tradnl"/>
    </w:rPr>
  </w:style>
  <w:style w:type="character" w:customStyle="1" w:styleId="S4HeaderChar">
    <w:name w:val="S4 Header Char"/>
    <w:link w:val="S4Header"/>
    <w:uiPriority w:val="99"/>
    <w:rPr>
      <w:b/>
      <w:sz w:val="32"/>
    </w:rPr>
  </w:style>
  <w:style w:type="character" w:customStyle="1" w:styleId="Textoindependiente3Car">
    <w:name w:val="Texto independiente 3 Car"/>
    <w:basedOn w:val="Fuentedeprrafopredeter"/>
    <w:link w:val="Textoindependiente3"/>
    <w:rPr>
      <w:rFonts w:ascii="Arial" w:hAnsi="Arial"/>
      <w:i/>
    </w:rPr>
  </w:style>
  <w:style w:type="paragraph" w:customStyle="1" w:styleId="TableParagraph">
    <w:name w:val="Table Paragraph"/>
    <w:basedOn w:val="Normal"/>
    <w:uiPriority w:val="1"/>
    <w:qFormat/>
    <w:pPr>
      <w:widowControl w:val="0"/>
    </w:pPr>
    <w:rPr>
      <w:rFonts w:cstheme="minorBidi"/>
      <w:sz w:val="22"/>
      <w:szCs w:val="22"/>
    </w:rPr>
  </w:style>
  <w:style w:type="paragraph" w:customStyle="1" w:styleId="Normal-Tabla">
    <w:name w:val="Normal-Tabla"/>
    <w:basedOn w:val="Normal"/>
    <w:qFormat/>
    <w:pPr>
      <w:spacing w:before="40" w:after="40"/>
      <w:jc w:val="both"/>
    </w:pPr>
    <w:rPr>
      <w:sz w:val="20"/>
      <w:szCs w:val="20"/>
      <w:lang w:val="es-AR"/>
    </w:rPr>
  </w:style>
  <w:style w:type="character" w:customStyle="1" w:styleId="Header1-ClausesChar">
    <w:name w:val="Header 1 - Clauses Char"/>
    <w:link w:val="Header1-Clauses"/>
    <w:rPr>
      <w:rFonts w:ascii="Arial" w:hAnsi="Arial"/>
      <w:b/>
    </w:rPr>
  </w:style>
  <w:style w:type="paragraph" w:customStyle="1" w:styleId="RightPar10">
    <w:name w:val="Right Par 1"/>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pPr>
      <w:suppressAutoHyphens/>
      <w:spacing w:after="240"/>
      <w:ind w:left="360" w:hanging="360"/>
    </w:pPr>
    <w:rPr>
      <w:b/>
      <w:lang w:val="es-ES_tradnl"/>
    </w:rPr>
  </w:style>
  <w:style w:type="paragraph" w:customStyle="1" w:styleId="Head31">
    <w:name w:val="Head 3.1"/>
    <w:basedOn w:val="Head21"/>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pPr>
      <w:keepNext/>
      <w:suppressAutoHyphens/>
      <w:spacing w:before="480" w:after="240"/>
      <w:ind w:left="547" w:hanging="547"/>
      <w:jc w:val="center"/>
    </w:pPr>
    <w:rPr>
      <w:b/>
      <w:lang w:val="es-ES_tradnl"/>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Pr>
      <w:smallCaps/>
      <w:sz w:val="28"/>
    </w:rPr>
  </w:style>
  <w:style w:type="paragraph" w:customStyle="1" w:styleId="ClauseSubPara">
    <w:name w:val="ClauseSub_Para"/>
    <w:link w:val="ClauseSubParaChar"/>
    <w:pPr>
      <w:spacing w:before="60" w:after="60"/>
      <w:ind w:left="2268"/>
    </w:pPr>
    <w:rPr>
      <w:sz w:val="22"/>
      <w:szCs w:val="22"/>
      <w:lang w:val="en-GB"/>
    </w:rPr>
  </w:style>
  <w:style w:type="paragraph" w:customStyle="1" w:styleId="ClauseSubList">
    <w:name w:val="ClauseSub_List"/>
    <w:pPr>
      <w:numPr>
        <w:numId w:val="38"/>
      </w:numPr>
      <w:suppressAutoHyphens/>
    </w:pPr>
    <w:rPr>
      <w:sz w:val="22"/>
      <w:szCs w:val="22"/>
      <w:lang w:val="en-GB"/>
    </w:rPr>
  </w:style>
  <w:style w:type="paragraph" w:customStyle="1" w:styleId="ClauseSubListSubList">
    <w:name w:val="ClauseSub_List_SubList"/>
    <w:pPr>
      <w:tabs>
        <w:tab w:val="num" w:pos="1782"/>
      </w:tabs>
      <w:ind w:left="1782" w:hanging="792"/>
    </w:pPr>
    <w:rPr>
      <w:sz w:val="22"/>
      <w:szCs w:val="22"/>
      <w:lang w:val="en-GB"/>
    </w:rPr>
  </w:style>
  <w:style w:type="paragraph" w:customStyle="1" w:styleId="ClauseSubParaIndent">
    <w:name w:val="ClauseSub_ParaIndent"/>
    <w:basedOn w:val="ClauseSubPara"/>
    <w:pPr>
      <w:ind w:left="2835"/>
    </w:pPr>
  </w:style>
  <w:style w:type="paragraph" w:customStyle="1" w:styleId="FIDICSectionBegin">
    <w:name w:val="FIDIC__SectionBegin"/>
    <w:basedOn w:val="Normal"/>
    <w:next w:val="FIDICSectionName"/>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Pr>
      <w:rFonts w:ascii="Times New Roman" w:hAnsi="Times New Roman"/>
      <w:szCs w:val="24"/>
      <w:lang w:val="en-US"/>
    </w:rPr>
  </w:style>
  <w:style w:type="paragraph" w:customStyle="1" w:styleId="SectionIXHeader">
    <w:name w:val="Section IX Header"/>
    <w:basedOn w:val="SectionVHeader"/>
    <w:rPr>
      <w:rFonts w:ascii="Times New Roman" w:hAnsi="Times New Roman"/>
      <w:szCs w:val="24"/>
      <w:lang w:val="en-US"/>
    </w:rPr>
  </w:style>
  <w:style w:type="paragraph" w:customStyle="1" w:styleId="Parts">
    <w:name w:val="Parts"/>
    <w:basedOn w:val="Ttulo1"/>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pPr>
      <w:keepNext w:val="0"/>
      <w:spacing w:after="0"/>
    </w:pPr>
    <w:rPr>
      <w:rFonts w:cs="Times New Roman"/>
      <w:bCs w:val="0"/>
      <w:spacing w:val="0"/>
      <w:sz w:val="28"/>
      <w:lang w:val="es-ES_tradnl"/>
    </w:rPr>
  </w:style>
  <w:style w:type="paragraph" w:customStyle="1" w:styleId="Section7heading4">
    <w:name w:val="Section 7 heading 4"/>
    <w:basedOn w:val="Ttulo3"/>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pPr>
      <w:spacing w:after="200"/>
    </w:pPr>
    <w:rPr>
      <w:rFonts w:ascii="Times New Roman Bold" w:hAnsi="Times New Roman Bold"/>
      <w:bCs/>
      <w:szCs w:val="28"/>
    </w:rPr>
  </w:style>
  <w:style w:type="paragraph" w:customStyle="1" w:styleId="StyleTOC1Before8pt">
    <w:name w:val="Style TOC 1 + Before:  8 pt"/>
    <w:basedOn w:val="TDC1"/>
    <w:pPr>
      <w:tabs>
        <w:tab w:val="right" w:pos="720"/>
        <w:tab w:val="right" w:leader="dot" w:pos="9000"/>
      </w:tabs>
      <w:suppressAutoHyphens/>
      <w:spacing w:before="160"/>
      <w:ind w:left="720" w:right="720" w:hanging="720"/>
    </w:pPr>
    <w:rPr>
      <w:bCs/>
      <w:lang w:val="es-ES_tradnl"/>
    </w:rPr>
  </w:style>
  <w:style w:type="paragraph" w:customStyle="1" w:styleId="StyleClauseSubList12ptJustifiedAfter10pt">
    <w:name w:val="Style ClauseSub_List + 12 pt Justified After:  10 pt"/>
    <w:basedOn w:val="ClauseSubList"/>
    <w:pPr>
      <w:spacing w:after="200"/>
      <w:jc w:val="both"/>
    </w:pPr>
    <w:rPr>
      <w:sz w:val="24"/>
      <w:szCs w:val="24"/>
    </w:rPr>
  </w:style>
  <w:style w:type="character" w:customStyle="1" w:styleId="vlpgno">
    <w:name w:val="vl.pg.no."/>
    <w:rPr>
      <w:rFonts w:ascii="Times" w:hAnsi="Times"/>
      <w:b/>
      <w:noProof w:val="0"/>
      <w:sz w:val="20"/>
      <w:lang w:val="en-US"/>
    </w:rPr>
  </w:style>
  <w:style w:type="character" w:customStyle="1" w:styleId="footnote">
    <w:name w:val="footnote"/>
    <w:rPr>
      <w:rFonts w:ascii="Book Antiqua" w:hAnsi="Book Antiqua"/>
      <w:noProof w:val="0"/>
      <w:sz w:val="24"/>
      <w:lang w:val="en-US"/>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character" w:customStyle="1" w:styleId="wwritemdhtml1">
    <w:name w:val="wwritemdhtml1"/>
    <w:rPr>
      <w:rFonts w:ascii="Arial" w:hAnsi="Arial" w:cs="Arial" w:hint="default"/>
      <w:strike w:val="0"/>
      <w:dstrike w:val="0"/>
      <w:color w:val="020335"/>
      <w:sz w:val="23"/>
      <w:szCs w:val="23"/>
      <w:u w:val="none"/>
      <w:effect w:val="none"/>
    </w:rPr>
  </w:style>
  <w:style w:type="character" w:customStyle="1" w:styleId="Section7heading4Char">
    <w:name w:val="Section 7 heading 4 Char"/>
    <w:rPr>
      <w:b/>
      <w:sz w:val="24"/>
      <w:lang w:val="en-US" w:eastAsia="en-US" w:bidi="ar-SA"/>
    </w:rPr>
  </w:style>
  <w:style w:type="character" w:customStyle="1" w:styleId="Sangra2detindependienteCar">
    <w:name w:val="Sangría 2 de t. independiente Car"/>
    <w:basedOn w:val="Fuentedeprrafopredeter"/>
    <w:link w:val="Sangra2detindependiente"/>
    <w:rPr>
      <w:rFonts w:ascii="Arial" w:hAnsi="Arial"/>
      <w:sz w:val="22"/>
    </w:rPr>
  </w:style>
  <w:style w:type="character" w:customStyle="1" w:styleId="BodyTextIndentChar">
    <w:name w:val="Body Text Indent Char"/>
    <w:basedOn w:val="Fuentedeprrafopredeter"/>
    <w:rPr>
      <w:rFonts w:ascii="Times New Roman" w:eastAsia="Times New Roman" w:hAnsi="Times New Roman" w:cs="Times New Roman"/>
      <w:lang w:val="es-ES_tradnl"/>
    </w:rPr>
  </w:style>
  <w:style w:type="paragraph" w:customStyle="1" w:styleId="SectionVIHeader0">
    <w:name w:val="Section VI. Header"/>
    <w:basedOn w:val="Normal"/>
    <w:link w:val="SectionVIHeaderCar"/>
    <w:pPr>
      <w:spacing w:before="120" w:after="240"/>
      <w:jc w:val="center"/>
    </w:pPr>
    <w:rPr>
      <w:b/>
      <w:sz w:val="36"/>
      <w:lang w:val="es-ES_tradnl"/>
    </w:rPr>
  </w:style>
  <w:style w:type="paragraph" w:customStyle="1" w:styleId="SectionIVHeader">
    <w:name w:val="Section IV. Header"/>
    <w:basedOn w:val="SectionVIHeader0"/>
  </w:style>
  <w:style w:type="character" w:styleId="nfasis">
    <w:name w:val="Emphasis"/>
    <w:uiPriority w:val="20"/>
    <w:qFormat/>
    <w:rPr>
      <w:i/>
      <w:iCs/>
    </w:rPr>
  </w:style>
  <w:style w:type="paragraph" w:customStyle="1" w:styleId="Heading1-Clausename">
    <w:name w:val="Heading 1- Clause name"/>
    <w:basedOn w:val="Normal"/>
    <w:link w:val="Heading1-ClausenameCar"/>
    <w:pPr>
      <w:numPr>
        <w:numId w:val="41"/>
      </w:numPr>
      <w:tabs>
        <w:tab w:val="num" w:pos="360"/>
      </w:tabs>
      <w:spacing w:after="200"/>
      <w:ind w:left="360" w:hanging="360"/>
    </w:pPr>
    <w:rPr>
      <w:b/>
    </w:rPr>
  </w:style>
  <w:style w:type="paragraph" w:customStyle="1" w:styleId="S1-OptB-header2">
    <w:name w:val="S1-OptB-header2"/>
    <w:basedOn w:val="Normal"/>
    <w:uiPriority w:val="99"/>
    <w:pPr>
      <w:numPr>
        <w:numId w:val="40"/>
      </w:numPr>
    </w:pPr>
    <w:rPr>
      <w:b/>
    </w:rPr>
  </w:style>
  <w:style w:type="paragraph" w:customStyle="1" w:styleId="OptB-S1-subpara">
    <w:name w:val="OptB-S1-sub para"/>
    <w:basedOn w:val="Normal"/>
    <w:uiPriority w:val="99"/>
    <w:pPr>
      <w:spacing w:after="200"/>
      <w:jc w:val="both"/>
    </w:pPr>
  </w:style>
  <w:style w:type="paragraph" w:customStyle="1" w:styleId="UG-SectionVI-Heading1">
    <w:name w:val="UG - Section VI - Heading 1"/>
    <w:basedOn w:val="Normal"/>
    <w:uiPriority w:val="99"/>
    <w:pPr>
      <w:spacing w:before="120" w:after="200"/>
      <w:jc w:val="center"/>
    </w:pPr>
    <w:rPr>
      <w:b/>
      <w:sz w:val="40"/>
    </w:rPr>
  </w:style>
  <w:style w:type="paragraph" w:customStyle="1" w:styleId="p1">
    <w:name w:val="p1"/>
    <w:basedOn w:val="Normal"/>
    <w:pPr>
      <w:spacing w:before="152"/>
      <w:ind w:left="105"/>
    </w:pPr>
    <w:rPr>
      <w:sz w:val="18"/>
      <w:szCs w:val="18"/>
    </w:rPr>
  </w:style>
  <w:style w:type="paragraph" w:customStyle="1" w:styleId="p2">
    <w:name w:val="p2"/>
    <w:basedOn w:val="Normal"/>
    <w:uiPriority w:val="99"/>
    <w:pPr>
      <w:spacing w:before="5"/>
    </w:pPr>
    <w:rPr>
      <w:sz w:val="13"/>
      <w:szCs w:val="13"/>
    </w:rPr>
  </w:style>
  <w:style w:type="paragraph" w:customStyle="1" w:styleId="p3">
    <w:name w:val="p3"/>
    <w:basedOn w:val="Normal"/>
    <w:uiPriority w:val="99"/>
    <w:pPr>
      <w:spacing w:before="53"/>
      <w:ind w:left="105"/>
      <w:jc w:val="both"/>
    </w:pPr>
    <w:rPr>
      <w:sz w:val="18"/>
      <w:szCs w:val="18"/>
    </w:rPr>
  </w:style>
  <w:style w:type="paragraph" w:customStyle="1" w:styleId="p4">
    <w:name w:val="p4"/>
    <w:basedOn w:val="Normal"/>
    <w:uiPriority w:val="99"/>
    <w:rPr>
      <w:sz w:val="18"/>
      <w:szCs w:val="18"/>
    </w:rPr>
  </w:style>
  <w:style w:type="paragraph" w:customStyle="1" w:styleId="p5">
    <w:name w:val="p5"/>
    <w:basedOn w:val="Normal"/>
    <w:pPr>
      <w:ind w:left="105"/>
      <w:jc w:val="both"/>
    </w:pPr>
    <w:rPr>
      <w:sz w:val="18"/>
      <w:szCs w:val="18"/>
    </w:rPr>
  </w:style>
  <w:style w:type="paragraph" w:customStyle="1" w:styleId="p6">
    <w:name w:val="p6"/>
    <w:basedOn w:val="Normal"/>
    <w:pPr>
      <w:spacing w:before="155"/>
      <w:ind w:left="645"/>
    </w:pPr>
    <w:rPr>
      <w:rFonts w:ascii="Cambria" w:hAnsi="Cambria"/>
      <w:sz w:val="18"/>
      <w:szCs w:val="18"/>
    </w:rPr>
  </w:style>
  <w:style w:type="paragraph" w:customStyle="1" w:styleId="p7">
    <w:name w:val="p7"/>
    <w:basedOn w:val="Normal"/>
    <w:uiPriority w:val="99"/>
    <w:rPr>
      <w:rFonts w:ascii="Cambria" w:hAnsi="Cambria"/>
      <w:sz w:val="15"/>
      <w:szCs w:val="15"/>
    </w:rPr>
  </w:style>
  <w:style w:type="paragraph" w:customStyle="1" w:styleId="p8">
    <w:name w:val="p8"/>
    <w:basedOn w:val="Normal"/>
    <w:pPr>
      <w:spacing w:before="2"/>
    </w:pPr>
    <w:rPr>
      <w:rFonts w:ascii="Cambria" w:hAnsi="Cambria"/>
      <w:sz w:val="13"/>
      <w:szCs w:val="13"/>
    </w:rPr>
  </w:style>
  <w:style w:type="paragraph" w:customStyle="1" w:styleId="p9">
    <w:name w:val="p9"/>
    <w:basedOn w:val="Normal"/>
    <w:uiPriority w:val="99"/>
    <w:pPr>
      <w:spacing w:before="53"/>
      <w:ind w:left="240"/>
      <w:jc w:val="both"/>
    </w:pPr>
    <w:rPr>
      <w:sz w:val="18"/>
      <w:szCs w:val="18"/>
    </w:rPr>
  </w:style>
  <w:style w:type="paragraph" w:customStyle="1" w:styleId="p10">
    <w:name w:val="p10"/>
    <w:basedOn w:val="Normal"/>
    <w:uiPriority w:val="99"/>
    <w:pPr>
      <w:ind w:left="1605"/>
    </w:pPr>
    <w:rPr>
      <w:sz w:val="18"/>
      <w:szCs w:val="18"/>
    </w:rPr>
  </w:style>
  <w:style w:type="paragraph" w:customStyle="1" w:styleId="p11">
    <w:name w:val="p11"/>
    <w:basedOn w:val="Normal"/>
    <w:uiPriority w:val="99"/>
    <w:pPr>
      <w:spacing w:before="21"/>
      <w:ind w:left="306"/>
    </w:pPr>
    <w:rPr>
      <w:sz w:val="18"/>
      <w:szCs w:val="18"/>
    </w:rPr>
  </w:style>
  <w:style w:type="paragraph" w:customStyle="1" w:styleId="p12">
    <w:name w:val="p12"/>
    <w:basedOn w:val="Normal"/>
    <w:uiPriority w:val="99"/>
    <w:pPr>
      <w:spacing w:before="21"/>
      <w:ind w:left="774"/>
    </w:pPr>
    <w:rPr>
      <w:sz w:val="18"/>
      <w:szCs w:val="18"/>
    </w:rPr>
  </w:style>
  <w:style w:type="paragraph" w:customStyle="1" w:styleId="p13">
    <w:name w:val="p13"/>
    <w:basedOn w:val="Normal"/>
    <w:uiPriority w:val="99"/>
    <w:pPr>
      <w:spacing w:before="21"/>
      <w:jc w:val="center"/>
    </w:pPr>
    <w:rPr>
      <w:sz w:val="18"/>
      <w:szCs w:val="18"/>
    </w:rPr>
  </w:style>
  <w:style w:type="paragraph" w:customStyle="1" w:styleId="p14">
    <w:name w:val="p14"/>
    <w:basedOn w:val="Normal"/>
    <w:uiPriority w:val="99"/>
    <w:pPr>
      <w:spacing w:before="110"/>
      <w:ind w:left="77"/>
    </w:pPr>
    <w:rPr>
      <w:sz w:val="18"/>
      <w:szCs w:val="18"/>
    </w:rPr>
  </w:style>
  <w:style w:type="paragraph" w:customStyle="1" w:styleId="p15">
    <w:name w:val="p15"/>
    <w:basedOn w:val="Normal"/>
    <w:pPr>
      <w:spacing w:before="45" w:line="180" w:lineRule="atLeast"/>
      <w:ind w:left="77"/>
    </w:pPr>
    <w:rPr>
      <w:sz w:val="18"/>
      <w:szCs w:val="18"/>
    </w:rPr>
  </w:style>
  <w:style w:type="paragraph" w:customStyle="1" w:styleId="p16">
    <w:name w:val="p16"/>
    <w:basedOn w:val="Normal"/>
    <w:pPr>
      <w:spacing w:before="158" w:line="180" w:lineRule="atLeast"/>
      <w:ind w:left="77"/>
    </w:pPr>
    <w:rPr>
      <w:sz w:val="18"/>
      <w:szCs w:val="18"/>
    </w:rPr>
  </w:style>
  <w:style w:type="paragraph" w:customStyle="1" w:styleId="p21">
    <w:name w:val="p21"/>
    <w:basedOn w:val="Normal"/>
    <w:pPr>
      <w:spacing w:before="101"/>
      <w:ind w:left="77"/>
    </w:pPr>
    <w:rPr>
      <w:sz w:val="18"/>
      <w:szCs w:val="18"/>
    </w:rPr>
  </w:style>
  <w:style w:type="paragraph" w:customStyle="1" w:styleId="p22">
    <w:name w:val="p22"/>
    <w:basedOn w:val="Normal"/>
    <w:pPr>
      <w:spacing w:before="2"/>
    </w:pPr>
    <w:rPr>
      <w:sz w:val="20"/>
    </w:rPr>
  </w:style>
  <w:style w:type="paragraph" w:customStyle="1" w:styleId="p23">
    <w:name w:val="p23"/>
    <w:basedOn w:val="Normal"/>
    <w:pPr>
      <w:spacing w:line="180" w:lineRule="atLeast"/>
      <w:ind w:left="77"/>
    </w:pPr>
    <w:rPr>
      <w:sz w:val="18"/>
      <w:szCs w:val="18"/>
    </w:rPr>
  </w:style>
  <w:style w:type="paragraph" w:customStyle="1" w:styleId="p24">
    <w:name w:val="p24"/>
    <w:basedOn w:val="Normal"/>
    <w:pPr>
      <w:spacing w:before="42"/>
      <w:ind w:left="77"/>
    </w:pPr>
    <w:rPr>
      <w:sz w:val="18"/>
      <w:szCs w:val="18"/>
    </w:rPr>
  </w:style>
  <w:style w:type="paragraph" w:customStyle="1" w:styleId="p25">
    <w:name w:val="p25"/>
    <w:basedOn w:val="Normal"/>
    <w:pPr>
      <w:spacing w:before="134" w:line="180" w:lineRule="atLeast"/>
      <w:ind w:left="77"/>
    </w:pPr>
    <w:rPr>
      <w:sz w:val="18"/>
      <w:szCs w:val="18"/>
    </w:rPr>
  </w:style>
  <w:style w:type="paragraph" w:customStyle="1" w:styleId="p26">
    <w:name w:val="p26"/>
    <w:basedOn w:val="Normal"/>
    <w:rPr>
      <w:sz w:val="15"/>
      <w:szCs w:val="15"/>
    </w:rPr>
  </w:style>
  <w:style w:type="paragraph" w:customStyle="1" w:styleId="p27">
    <w:name w:val="p27"/>
    <w:basedOn w:val="Normal"/>
    <w:pPr>
      <w:spacing w:before="2"/>
    </w:pPr>
    <w:rPr>
      <w:sz w:val="12"/>
      <w:szCs w:val="12"/>
    </w:rPr>
  </w:style>
  <w:style w:type="paragraph" w:customStyle="1" w:styleId="p28">
    <w:name w:val="p28"/>
    <w:basedOn w:val="Normal"/>
    <w:pPr>
      <w:spacing w:before="50"/>
      <w:ind w:left="879"/>
    </w:pPr>
    <w:rPr>
      <w:rFonts w:ascii="Cambria" w:hAnsi="Cambria"/>
      <w:sz w:val="18"/>
      <w:szCs w:val="18"/>
    </w:rPr>
  </w:style>
  <w:style w:type="paragraph" w:customStyle="1" w:styleId="p29">
    <w:name w:val="p29"/>
    <w:basedOn w:val="Normal"/>
    <w:pPr>
      <w:spacing w:before="3"/>
    </w:pPr>
    <w:rPr>
      <w:rFonts w:ascii="Cambria" w:hAnsi="Cambria"/>
      <w:sz w:val="25"/>
      <w:szCs w:val="25"/>
    </w:rPr>
  </w:style>
  <w:style w:type="paragraph" w:customStyle="1" w:styleId="p30">
    <w:name w:val="p30"/>
    <w:basedOn w:val="Normal"/>
    <w:pPr>
      <w:ind w:left="240"/>
      <w:jc w:val="both"/>
    </w:pPr>
    <w:rPr>
      <w:sz w:val="18"/>
      <w:szCs w:val="18"/>
    </w:rPr>
  </w:style>
  <w:style w:type="paragraph" w:customStyle="1" w:styleId="p33">
    <w:name w:val="p33"/>
    <w:basedOn w:val="Normal"/>
    <w:pPr>
      <w:spacing w:before="83"/>
      <w:ind w:left="240"/>
      <w:jc w:val="both"/>
    </w:pPr>
    <w:rPr>
      <w:sz w:val="18"/>
      <w:szCs w:val="18"/>
    </w:rPr>
  </w:style>
  <w:style w:type="paragraph" w:customStyle="1" w:styleId="p34">
    <w:name w:val="p34"/>
    <w:basedOn w:val="Normal"/>
    <w:pPr>
      <w:spacing w:before="2"/>
    </w:pPr>
    <w:rPr>
      <w:sz w:val="18"/>
      <w:szCs w:val="18"/>
    </w:rPr>
  </w:style>
  <w:style w:type="paragraph" w:customStyle="1" w:styleId="p35">
    <w:name w:val="p35"/>
    <w:basedOn w:val="Normal"/>
    <w:pPr>
      <w:spacing w:before="8"/>
    </w:pPr>
    <w:rPr>
      <w:sz w:val="14"/>
      <w:szCs w:val="14"/>
    </w:rPr>
  </w:style>
  <w:style w:type="paragraph" w:customStyle="1" w:styleId="p36">
    <w:name w:val="p36"/>
    <w:basedOn w:val="Normal"/>
    <w:pPr>
      <w:spacing w:before="50"/>
      <w:jc w:val="center"/>
    </w:pPr>
    <w:rPr>
      <w:rFonts w:ascii="Cambria" w:hAnsi="Cambria"/>
      <w:sz w:val="18"/>
      <w:szCs w:val="18"/>
    </w:rPr>
  </w:style>
  <w:style w:type="paragraph" w:customStyle="1" w:styleId="p37">
    <w:name w:val="p37"/>
    <w:basedOn w:val="Normal"/>
    <w:pPr>
      <w:spacing w:before="8"/>
    </w:pPr>
    <w:rPr>
      <w:rFonts w:ascii="Cambria" w:hAnsi="Cambria"/>
      <w:sz w:val="17"/>
      <w:szCs w:val="17"/>
    </w:rPr>
  </w:style>
  <w:style w:type="paragraph" w:customStyle="1" w:styleId="p38">
    <w:name w:val="p38"/>
    <w:basedOn w:val="Normal"/>
    <w:pPr>
      <w:spacing w:before="155"/>
      <w:ind w:left="737"/>
      <w:jc w:val="center"/>
    </w:pPr>
    <w:rPr>
      <w:rFonts w:ascii="Cambria" w:hAnsi="Cambria"/>
      <w:sz w:val="18"/>
      <w:szCs w:val="18"/>
    </w:rPr>
  </w:style>
  <w:style w:type="paragraph" w:customStyle="1" w:styleId="p39">
    <w:name w:val="p39"/>
    <w:basedOn w:val="Normal"/>
    <w:rPr>
      <w:rFonts w:ascii="Cambria" w:hAnsi="Cambria"/>
      <w:sz w:val="18"/>
      <w:szCs w:val="18"/>
    </w:rPr>
  </w:style>
  <w:style w:type="paragraph" w:customStyle="1" w:styleId="p40">
    <w:name w:val="p40"/>
    <w:basedOn w:val="Normal"/>
    <w:pPr>
      <w:spacing w:before="140"/>
      <w:ind w:left="105"/>
      <w:jc w:val="both"/>
    </w:pPr>
    <w:rPr>
      <w:sz w:val="18"/>
      <w:szCs w:val="18"/>
    </w:rPr>
  </w:style>
  <w:style w:type="paragraph" w:customStyle="1" w:styleId="p41">
    <w:name w:val="p41"/>
    <w:basedOn w:val="Normal"/>
    <w:pPr>
      <w:spacing w:before="147"/>
      <w:ind w:left="105"/>
      <w:jc w:val="both"/>
    </w:pPr>
    <w:rPr>
      <w:sz w:val="18"/>
      <w:szCs w:val="18"/>
    </w:rPr>
  </w:style>
  <w:style w:type="paragraph" w:customStyle="1" w:styleId="p47">
    <w:name w:val="p47"/>
    <w:basedOn w:val="Normal"/>
    <w:pPr>
      <w:spacing w:before="50"/>
      <w:ind w:left="617"/>
      <w:jc w:val="center"/>
    </w:pPr>
    <w:rPr>
      <w:rFonts w:ascii="Cambria" w:hAnsi="Cambria"/>
      <w:sz w:val="18"/>
      <w:szCs w:val="18"/>
    </w:rPr>
  </w:style>
  <w:style w:type="paragraph" w:customStyle="1" w:styleId="p48">
    <w:name w:val="p48"/>
    <w:basedOn w:val="Normal"/>
    <w:pPr>
      <w:spacing w:before="3"/>
    </w:pPr>
    <w:rPr>
      <w:sz w:val="26"/>
      <w:szCs w:val="26"/>
    </w:rPr>
  </w:style>
  <w:style w:type="paragraph" w:customStyle="1" w:styleId="p49">
    <w:name w:val="p49"/>
    <w:basedOn w:val="Normal"/>
    <w:pPr>
      <w:spacing w:before="2"/>
    </w:pPr>
    <w:rPr>
      <w:sz w:val="26"/>
      <w:szCs w:val="26"/>
    </w:rPr>
  </w:style>
  <w:style w:type="paragraph" w:customStyle="1" w:styleId="p50">
    <w:name w:val="p50"/>
    <w:basedOn w:val="Normal"/>
    <w:pPr>
      <w:ind w:left="375"/>
    </w:pPr>
    <w:rPr>
      <w:rFonts w:ascii="Cambria" w:hAnsi="Cambria"/>
      <w:sz w:val="18"/>
      <w:szCs w:val="18"/>
    </w:rPr>
  </w:style>
  <w:style w:type="paragraph" w:customStyle="1" w:styleId="p51">
    <w:name w:val="p51"/>
    <w:basedOn w:val="Normal"/>
    <w:pPr>
      <w:spacing w:before="9"/>
    </w:pPr>
    <w:rPr>
      <w:sz w:val="18"/>
      <w:szCs w:val="18"/>
    </w:rPr>
  </w:style>
  <w:style w:type="paragraph" w:customStyle="1" w:styleId="p52">
    <w:name w:val="p52"/>
    <w:basedOn w:val="Normal"/>
    <w:pPr>
      <w:spacing w:line="150" w:lineRule="atLeast"/>
      <w:ind w:left="84"/>
    </w:pPr>
    <w:rPr>
      <w:sz w:val="15"/>
      <w:szCs w:val="15"/>
    </w:rPr>
  </w:style>
  <w:style w:type="paragraph" w:customStyle="1" w:styleId="p53">
    <w:name w:val="p53"/>
    <w:basedOn w:val="Normal"/>
    <w:pPr>
      <w:spacing w:before="95"/>
      <w:ind w:left="804" w:hanging="639"/>
    </w:pPr>
    <w:rPr>
      <w:sz w:val="18"/>
      <w:szCs w:val="18"/>
    </w:rPr>
  </w:style>
  <w:style w:type="paragraph" w:customStyle="1" w:styleId="p54">
    <w:name w:val="p54"/>
    <w:basedOn w:val="Normal"/>
  </w:style>
  <w:style w:type="paragraph" w:customStyle="1" w:styleId="p55">
    <w:name w:val="p55"/>
    <w:basedOn w:val="Normal"/>
    <w:pPr>
      <w:ind w:left="804"/>
    </w:pPr>
    <w:rPr>
      <w:rFonts w:ascii="Cambria" w:hAnsi="Cambria"/>
      <w:sz w:val="18"/>
      <w:szCs w:val="18"/>
    </w:rPr>
  </w:style>
  <w:style w:type="paragraph" w:customStyle="1" w:styleId="p56">
    <w:name w:val="p56"/>
    <w:basedOn w:val="Normal"/>
    <w:pPr>
      <w:spacing w:before="2"/>
    </w:pPr>
    <w:rPr>
      <w:rFonts w:ascii="Cambria" w:hAnsi="Cambria"/>
      <w:sz w:val="25"/>
      <w:szCs w:val="25"/>
    </w:rPr>
  </w:style>
  <w:style w:type="paragraph" w:customStyle="1" w:styleId="p57">
    <w:name w:val="p57"/>
    <w:basedOn w:val="Normal"/>
    <w:pPr>
      <w:ind w:left="165"/>
      <w:jc w:val="both"/>
    </w:pPr>
    <w:rPr>
      <w:sz w:val="18"/>
      <w:szCs w:val="18"/>
    </w:rPr>
  </w:style>
  <w:style w:type="paragraph" w:customStyle="1" w:styleId="p60">
    <w:name w:val="p60"/>
    <w:basedOn w:val="Normal"/>
    <w:pPr>
      <w:spacing w:before="146"/>
      <w:ind w:left="165"/>
      <w:jc w:val="both"/>
    </w:pPr>
    <w:rPr>
      <w:sz w:val="18"/>
      <w:szCs w:val="18"/>
    </w:rPr>
  </w:style>
  <w:style w:type="paragraph" w:customStyle="1" w:styleId="p61">
    <w:name w:val="p61"/>
    <w:basedOn w:val="Normal"/>
    <w:pPr>
      <w:spacing w:before="3"/>
    </w:pPr>
    <w:rPr>
      <w:sz w:val="21"/>
      <w:szCs w:val="21"/>
    </w:rPr>
  </w:style>
  <w:style w:type="paragraph" w:customStyle="1" w:styleId="p62">
    <w:name w:val="p62"/>
    <w:basedOn w:val="Normal"/>
    <w:pPr>
      <w:spacing w:before="50"/>
      <w:ind w:left="636"/>
    </w:pPr>
    <w:rPr>
      <w:rFonts w:ascii="Cambria" w:hAnsi="Cambria"/>
      <w:sz w:val="18"/>
      <w:szCs w:val="18"/>
    </w:rPr>
  </w:style>
  <w:style w:type="paragraph" w:customStyle="1" w:styleId="p69">
    <w:name w:val="p69"/>
    <w:basedOn w:val="Normal"/>
    <w:pPr>
      <w:spacing w:before="83"/>
      <w:ind w:left="105"/>
      <w:jc w:val="both"/>
    </w:pPr>
    <w:rPr>
      <w:sz w:val="18"/>
      <w:szCs w:val="18"/>
    </w:rPr>
  </w:style>
  <w:style w:type="paragraph" w:customStyle="1" w:styleId="p70">
    <w:name w:val="p70"/>
    <w:basedOn w:val="Normal"/>
    <w:pPr>
      <w:spacing w:before="90"/>
      <w:ind w:left="105"/>
      <w:jc w:val="both"/>
    </w:pPr>
    <w:rPr>
      <w:sz w:val="18"/>
      <w:szCs w:val="18"/>
    </w:rPr>
  </w:style>
  <w:style w:type="paragraph" w:customStyle="1" w:styleId="p71">
    <w:name w:val="p71"/>
    <w:basedOn w:val="Normal"/>
    <w:pPr>
      <w:spacing w:before="6"/>
    </w:pPr>
    <w:rPr>
      <w:sz w:val="23"/>
      <w:szCs w:val="23"/>
    </w:rPr>
  </w:style>
  <w:style w:type="paragraph" w:customStyle="1" w:styleId="p72">
    <w:name w:val="p72"/>
    <w:basedOn w:val="Normal"/>
    <w:rPr>
      <w:sz w:val="19"/>
      <w:szCs w:val="19"/>
    </w:rPr>
  </w:style>
  <w:style w:type="paragraph" w:customStyle="1" w:styleId="p73">
    <w:name w:val="p73"/>
    <w:basedOn w:val="Normal"/>
    <w:pPr>
      <w:spacing w:line="150" w:lineRule="atLeast"/>
      <w:ind w:left="21"/>
    </w:pPr>
    <w:rPr>
      <w:sz w:val="15"/>
      <w:szCs w:val="15"/>
    </w:rPr>
  </w:style>
  <w:style w:type="paragraph" w:customStyle="1" w:styleId="p74">
    <w:name w:val="p74"/>
    <w:basedOn w:val="Normal"/>
    <w:pPr>
      <w:spacing w:before="59"/>
      <w:ind w:left="1529"/>
    </w:pPr>
    <w:rPr>
      <w:sz w:val="18"/>
      <w:szCs w:val="18"/>
    </w:rPr>
  </w:style>
  <w:style w:type="paragraph" w:customStyle="1" w:styleId="p75">
    <w:name w:val="p75"/>
    <w:basedOn w:val="Normal"/>
    <w:pPr>
      <w:spacing w:line="200" w:lineRule="atLeast"/>
      <w:ind w:left="77"/>
    </w:pPr>
    <w:rPr>
      <w:sz w:val="18"/>
      <w:szCs w:val="18"/>
    </w:rPr>
  </w:style>
  <w:style w:type="paragraph" w:customStyle="1" w:styleId="p76">
    <w:name w:val="p76"/>
    <w:basedOn w:val="Normal"/>
    <w:pPr>
      <w:spacing w:line="201" w:lineRule="atLeast"/>
      <w:ind w:left="77"/>
    </w:pPr>
    <w:rPr>
      <w:sz w:val="18"/>
      <w:szCs w:val="18"/>
    </w:rPr>
  </w:style>
  <w:style w:type="paragraph" w:customStyle="1" w:styleId="p77">
    <w:name w:val="p77"/>
    <w:basedOn w:val="Normal"/>
    <w:pPr>
      <w:spacing w:before="9"/>
    </w:pPr>
    <w:rPr>
      <w:sz w:val="2"/>
      <w:szCs w:val="2"/>
    </w:rPr>
  </w:style>
  <w:style w:type="paragraph" w:customStyle="1" w:styleId="p78">
    <w:name w:val="p78"/>
    <w:basedOn w:val="Normal"/>
    <w:pPr>
      <w:spacing w:line="150" w:lineRule="atLeast"/>
      <w:ind w:left="273"/>
    </w:pPr>
    <w:rPr>
      <w:sz w:val="15"/>
      <w:szCs w:val="15"/>
    </w:rPr>
  </w:style>
  <w:style w:type="paragraph" w:customStyle="1" w:styleId="p79">
    <w:name w:val="p79"/>
    <w:basedOn w:val="Normal"/>
    <w:pPr>
      <w:spacing w:before="65"/>
      <w:jc w:val="center"/>
    </w:pPr>
    <w:rPr>
      <w:sz w:val="18"/>
      <w:szCs w:val="18"/>
    </w:rPr>
  </w:style>
  <w:style w:type="paragraph" w:customStyle="1" w:styleId="p80">
    <w:name w:val="p80"/>
    <w:basedOn w:val="Normal"/>
    <w:pPr>
      <w:spacing w:line="200" w:lineRule="atLeast"/>
      <w:ind w:left="332"/>
    </w:pPr>
    <w:rPr>
      <w:sz w:val="18"/>
      <w:szCs w:val="18"/>
    </w:rPr>
  </w:style>
  <w:style w:type="paragraph" w:customStyle="1" w:styleId="p81">
    <w:name w:val="p81"/>
    <w:basedOn w:val="Normal"/>
    <w:pPr>
      <w:spacing w:line="201" w:lineRule="atLeast"/>
      <w:ind w:left="332"/>
    </w:pPr>
    <w:rPr>
      <w:sz w:val="18"/>
      <w:szCs w:val="18"/>
    </w:rPr>
  </w:style>
  <w:style w:type="paragraph" w:customStyle="1" w:styleId="p82">
    <w:name w:val="p82"/>
    <w:basedOn w:val="Normal"/>
    <w:pPr>
      <w:ind w:left="77"/>
    </w:pPr>
    <w:rPr>
      <w:sz w:val="18"/>
      <w:szCs w:val="18"/>
    </w:rPr>
  </w:style>
  <w:style w:type="paragraph" w:customStyle="1" w:styleId="p83">
    <w:name w:val="p83"/>
    <w:basedOn w:val="Normal"/>
    <w:pPr>
      <w:spacing w:before="2"/>
    </w:pPr>
    <w:rPr>
      <w:sz w:val="6"/>
      <w:szCs w:val="6"/>
    </w:rPr>
  </w:style>
  <w:style w:type="paragraph" w:customStyle="1" w:styleId="p84">
    <w:name w:val="p84"/>
    <w:basedOn w:val="Normal"/>
    <w:pPr>
      <w:spacing w:line="150" w:lineRule="atLeast"/>
      <w:ind w:left="1010"/>
    </w:pPr>
    <w:rPr>
      <w:sz w:val="15"/>
      <w:szCs w:val="15"/>
    </w:rPr>
  </w:style>
  <w:style w:type="paragraph" w:customStyle="1" w:styleId="p85">
    <w:name w:val="p85"/>
    <w:basedOn w:val="Normal"/>
    <w:pPr>
      <w:spacing w:before="132"/>
      <w:ind w:left="1898"/>
    </w:pPr>
    <w:rPr>
      <w:sz w:val="18"/>
      <w:szCs w:val="18"/>
    </w:rPr>
  </w:style>
  <w:style w:type="paragraph" w:customStyle="1" w:styleId="p86">
    <w:name w:val="p86"/>
    <w:basedOn w:val="Normal"/>
    <w:pPr>
      <w:spacing w:before="53"/>
      <w:ind w:left="240"/>
    </w:pPr>
    <w:rPr>
      <w:sz w:val="18"/>
      <w:szCs w:val="18"/>
    </w:rPr>
  </w:style>
  <w:style w:type="paragraph" w:customStyle="1" w:styleId="p87">
    <w:name w:val="p87"/>
    <w:basedOn w:val="Normal"/>
    <w:rPr>
      <w:sz w:val="9"/>
      <w:szCs w:val="9"/>
    </w:rPr>
  </w:style>
  <w:style w:type="paragraph" w:customStyle="1" w:styleId="p88">
    <w:name w:val="p88"/>
    <w:basedOn w:val="Normal"/>
    <w:pPr>
      <w:spacing w:line="200" w:lineRule="atLeast"/>
      <w:ind w:left="608"/>
    </w:pPr>
    <w:rPr>
      <w:sz w:val="18"/>
      <w:szCs w:val="18"/>
    </w:rPr>
  </w:style>
  <w:style w:type="paragraph" w:customStyle="1" w:styleId="p89">
    <w:name w:val="p89"/>
    <w:basedOn w:val="Normal"/>
    <w:pPr>
      <w:spacing w:line="200" w:lineRule="atLeast"/>
      <w:ind w:left="75"/>
    </w:pPr>
    <w:rPr>
      <w:sz w:val="18"/>
      <w:szCs w:val="18"/>
    </w:rPr>
  </w:style>
  <w:style w:type="paragraph" w:customStyle="1" w:styleId="p90">
    <w:name w:val="p90"/>
    <w:basedOn w:val="Normal"/>
    <w:pPr>
      <w:spacing w:before="5"/>
    </w:pPr>
    <w:rPr>
      <w:sz w:val="18"/>
      <w:szCs w:val="18"/>
    </w:rPr>
  </w:style>
  <w:style w:type="paragraph" w:customStyle="1" w:styleId="p91">
    <w:name w:val="p91"/>
    <w:basedOn w:val="Normal"/>
    <w:pPr>
      <w:spacing w:line="150" w:lineRule="atLeast"/>
      <w:ind w:left="87"/>
    </w:pPr>
    <w:rPr>
      <w:sz w:val="15"/>
      <w:szCs w:val="15"/>
    </w:rPr>
  </w:style>
  <w:style w:type="paragraph" w:customStyle="1" w:styleId="p92">
    <w:name w:val="p92"/>
    <w:basedOn w:val="Normal"/>
    <w:rPr>
      <w:sz w:val="14"/>
      <w:szCs w:val="14"/>
    </w:rPr>
  </w:style>
  <w:style w:type="paragraph" w:customStyle="1" w:styleId="p93">
    <w:name w:val="p93"/>
    <w:basedOn w:val="Normal"/>
    <w:pPr>
      <w:ind w:left="255"/>
    </w:pPr>
    <w:rPr>
      <w:rFonts w:ascii="Cambria" w:hAnsi="Cambria"/>
      <w:sz w:val="18"/>
      <w:szCs w:val="18"/>
    </w:rPr>
  </w:style>
  <w:style w:type="paragraph" w:customStyle="1" w:styleId="p94">
    <w:name w:val="p94"/>
    <w:basedOn w:val="Normal"/>
    <w:pPr>
      <w:spacing w:before="53"/>
      <w:ind w:left="255"/>
      <w:jc w:val="both"/>
    </w:pPr>
    <w:rPr>
      <w:sz w:val="18"/>
      <w:szCs w:val="18"/>
    </w:rPr>
  </w:style>
  <w:style w:type="paragraph" w:customStyle="1" w:styleId="p95">
    <w:name w:val="p95"/>
    <w:basedOn w:val="Normal"/>
    <w:pPr>
      <w:ind w:left="255"/>
      <w:jc w:val="both"/>
    </w:pPr>
    <w:rPr>
      <w:sz w:val="18"/>
      <w:szCs w:val="18"/>
    </w:rPr>
  </w:style>
  <w:style w:type="paragraph" w:customStyle="1" w:styleId="p96">
    <w:name w:val="p96"/>
    <w:basedOn w:val="Normal"/>
    <w:pPr>
      <w:spacing w:before="9"/>
    </w:pPr>
    <w:rPr>
      <w:sz w:val="19"/>
      <w:szCs w:val="19"/>
    </w:rPr>
  </w:style>
  <w:style w:type="paragraph" w:customStyle="1" w:styleId="p97">
    <w:name w:val="p97"/>
    <w:basedOn w:val="Normal"/>
    <w:pPr>
      <w:spacing w:before="9"/>
    </w:pPr>
    <w:rPr>
      <w:sz w:val="16"/>
      <w:szCs w:val="16"/>
    </w:rPr>
  </w:style>
  <w:style w:type="paragraph" w:customStyle="1" w:styleId="p98">
    <w:name w:val="p98"/>
    <w:basedOn w:val="Normal"/>
    <w:pPr>
      <w:spacing w:before="8"/>
    </w:pPr>
    <w:rPr>
      <w:sz w:val="26"/>
      <w:szCs w:val="26"/>
    </w:rPr>
  </w:style>
  <w:style w:type="paragraph" w:customStyle="1" w:styleId="p99">
    <w:name w:val="p99"/>
    <w:basedOn w:val="Normal"/>
    <w:pPr>
      <w:ind w:left="105"/>
      <w:jc w:val="both"/>
    </w:pPr>
    <w:rPr>
      <w:rFonts w:ascii="Cambria" w:hAnsi="Cambria"/>
      <w:sz w:val="18"/>
      <w:szCs w:val="18"/>
    </w:rPr>
  </w:style>
  <w:style w:type="paragraph" w:customStyle="1" w:styleId="p100">
    <w:name w:val="p100"/>
    <w:basedOn w:val="Normal"/>
    <w:pPr>
      <w:spacing w:line="204" w:lineRule="atLeast"/>
      <w:ind w:left="105"/>
      <w:jc w:val="both"/>
    </w:pPr>
    <w:rPr>
      <w:sz w:val="18"/>
      <w:szCs w:val="18"/>
    </w:rPr>
  </w:style>
  <w:style w:type="paragraph" w:customStyle="1" w:styleId="p104">
    <w:name w:val="p104"/>
    <w:basedOn w:val="Normal"/>
    <w:pPr>
      <w:spacing w:before="9"/>
    </w:pPr>
    <w:rPr>
      <w:sz w:val="12"/>
      <w:szCs w:val="12"/>
    </w:rPr>
  </w:style>
  <w:style w:type="paragraph" w:customStyle="1" w:styleId="p106">
    <w:name w:val="p106"/>
    <w:basedOn w:val="Normal"/>
    <w:pPr>
      <w:spacing w:before="144"/>
      <w:ind w:left="105"/>
      <w:jc w:val="both"/>
    </w:pPr>
    <w:rPr>
      <w:sz w:val="18"/>
      <w:szCs w:val="18"/>
    </w:rPr>
  </w:style>
  <w:style w:type="paragraph" w:customStyle="1" w:styleId="p107">
    <w:name w:val="p107"/>
    <w:basedOn w:val="Normal"/>
    <w:pPr>
      <w:spacing w:before="155"/>
      <w:ind w:left="636"/>
    </w:pPr>
    <w:rPr>
      <w:rFonts w:ascii="Cambria" w:hAnsi="Cambria"/>
      <w:sz w:val="18"/>
      <w:szCs w:val="18"/>
    </w:rPr>
  </w:style>
  <w:style w:type="paragraph" w:customStyle="1" w:styleId="p108">
    <w:name w:val="p108"/>
    <w:basedOn w:val="Normal"/>
    <w:pPr>
      <w:spacing w:before="5"/>
      <w:ind w:left="105"/>
      <w:jc w:val="both"/>
    </w:pPr>
    <w:rPr>
      <w:sz w:val="18"/>
      <w:szCs w:val="18"/>
    </w:rPr>
  </w:style>
  <w:style w:type="paragraph" w:customStyle="1" w:styleId="p111">
    <w:name w:val="p111"/>
    <w:basedOn w:val="Normal"/>
    <w:pPr>
      <w:spacing w:before="152"/>
      <w:ind w:left="636"/>
    </w:pPr>
    <w:rPr>
      <w:rFonts w:ascii="Cambria" w:hAnsi="Cambria"/>
      <w:sz w:val="18"/>
      <w:szCs w:val="18"/>
    </w:rPr>
  </w:style>
  <w:style w:type="paragraph" w:customStyle="1" w:styleId="p112">
    <w:name w:val="p112"/>
    <w:basedOn w:val="Normal"/>
    <w:pPr>
      <w:spacing w:before="8"/>
    </w:pPr>
    <w:rPr>
      <w:sz w:val="5"/>
      <w:szCs w:val="5"/>
    </w:rPr>
  </w:style>
  <w:style w:type="paragraph" w:customStyle="1" w:styleId="p113">
    <w:name w:val="p113"/>
    <w:basedOn w:val="Normal"/>
    <w:pPr>
      <w:spacing w:line="150" w:lineRule="atLeast"/>
      <w:ind w:left="251"/>
    </w:pPr>
    <w:rPr>
      <w:sz w:val="15"/>
      <w:szCs w:val="15"/>
    </w:rPr>
  </w:style>
  <w:style w:type="paragraph" w:customStyle="1" w:styleId="p114">
    <w:name w:val="p114"/>
    <w:basedOn w:val="Normal"/>
    <w:pPr>
      <w:spacing w:before="2"/>
    </w:pPr>
    <w:rPr>
      <w:sz w:val="14"/>
      <w:szCs w:val="14"/>
    </w:rPr>
  </w:style>
  <w:style w:type="paragraph" w:customStyle="1" w:styleId="p115">
    <w:name w:val="p115"/>
    <w:basedOn w:val="Normal"/>
    <w:pPr>
      <w:spacing w:before="5"/>
    </w:pPr>
    <w:rPr>
      <w:sz w:val="9"/>
      <w:szCs w:val="9"/>
    </w:rPr>
  </w:style>
  <w:style w:type="paragraph" w:customStyle="1" w:styleId="p116">
    <w:name w:val="p116"/>
    <w:basedOn w:val="Normal"/>
    <w:pPr>
      <w:spacing w:line="150" w:lineRule="atLeast"/>
      <w:ind w:left="101"/>
    </w:pPr>
    <w:rPr>
      <w:sz w:val="15"/>
      <w:szCs w:val="15"/>
    </w:rPr>
  </w:style>
  <w:style w:type="paragraph" w:customStyle="1" w:styleId="p117">
    <w:name w:val="p117"/>
    <w:basedOn w:val="Normal"/>
    <w:pPr>
      <w:spacing w:before="117"/>
      <w:ind w:left="105"/>
      <w:jc w:val="both"/>
    </w:pPr>
    <w:rPr>
      <w:sz w:val="18"/>
      <w:szCs w:val="18"/>
    </w:rPr>
  </w:style>
  <w:style w:type="paragraph" w:customStyle="1" w:styleId="p118">
    <w:name w:val="p118"/>
    <w:basedOn w:val="Normal"/>
    <w:pPr>
      <w:spacing w:before="75"/>
      <w:ind w:left="105"/>
      <w:jc w:val="both"/>
    </w:pPr>
    <w:rPr>
      <w:sz w:val="18"/>
      <w:szCs w:val="18"/>
    </w:rPr>
  </w:style>
  <w:style w:type="paragraph" w:customStyle="1" w:styleId="p119">
    <w:name w:val="p119"/>
    <w:basedOn w:val="Normal"/>
    <w:pPr>
      <w:spacing w:before="155"/>
      <w:ind w:left="744"/>
    </w:pPr>
    <w:rPr>
      <w:rFonts w:ascii="Cambria" w:hAnsi="Cambria"/>
      <w:sz w:val="18"/>
      <w:szCs w:val="18"/>
    </w:rPr>
  </w:style>
  <w:style w:type="paragraph" w:customStyle="1" w:styleId="p121">
    <w:name w:val="p121"/>
    <w:basedOn w:val="Normal"/>
    <w:pPr>
      <w:spacing w:before="8"/>
    </w:pPr>
    <w:rPr>
      <w:sz w:val="20"/>
    </w:rPr>
  </w:style>
  <w:style w:type="paragraph" w:customStyle="1" w:styleId="p122">
    <w:name w:val="p122"/>
    <w:basedOn w:val="Normal"/>
    <w:pPr>
      <w:spacing w:line="150" w:lineRule="atLeast"/>
      <w:ind w:left="123"/>
    </w:pPr>
    <w:rPr>
      <w:sz w:val="15"/>
      <w:szCs w:val="15"/>
    </w:rPr>
  </w:style>
  <w:style w:type="paragraph" w:customStyle="1" w:styleId="p123">
    <w:name w:val="p123"/>
    <w:basedOn w:val="Normal"/>
    <w:pPr>
      <w:spacing w:before="123"/>
      <w:ind w:left="105"/>
      <w:jc w:val="both"/>
    </w:pPr>
    <w:rPr>
      <w:sz w:val="18"/>
      <w:szCs w:val="18"/>
    </w:rPr>
  </w:style>
  <w:style w:type="paragraph" w:customStyle="1" w:styleId="p125">
    <w:name w:val="p125"/>
    <w:basedOn w:val="Normal"/>
    <w:pPr>
      <w:spacing w:before="150"/>
      <w:ind w:left="636"/>
    </w:pPr>
    <w:rPr>
      <w:rFonts w:ascii="Cambria" w:hAnsi="Cambria"/>
      <w:sz w:val="18"/>
      <w:szCs w:val="18"/>
    </w:rPr>
  </w:style>
  <w:style w:type="paragraph" w:customStyle="1" w:styleId="p126">
    <w:name w:val="p126"/>
    <w:basedOn w:val="Normal"/>
    <w:pPr>
      <w:spacing w:before="86"/>
      <w:ind w:left="105"/>
      <w:jc w:val="both"/>
    </w:pPr>
    <w:rPr>
      <w:sz w:val="18"/>
      <w:szCs w:val="18"/>
    </w:rPr>
  </w:style>
  <w:style w:type="paragraph" w:customStyle="1" w:styleId="p127">
    <w:name w:val="p127"/>
    <w:basedOn w:val="Normal"/>
    <w:rPr>
      <w:rFonts w:ascii="Cambria" w:hAnsi="Cambria"/>
      <w:sz w:val="17"/>
      <w:szCs w:val="17"/>
    </w:rPr>
  </w:style>
  <w:style w:type="paragraph" w:customStyle="1" w:styleId="p128">
    <w:name w:val="p128"/>
    <w:basedOn w:val="Normal"/>
    <w:pPr>
      <w:spacing w:before="50"/>
      <w:ind w:left="105"/>
      <w:jc w:val="both"/>
    </w:pPr>
    <w:rPr>
      <w:rFonts w:ascii="Cambria" w:hAnsi="Cambria"/>
      <w:sz w:val="18"/>
      <w:szCs w:val="18"/>
    </w:rPr>
  </w:style>
  <w:style w:type="paragraph" w:customStyle="1" w:styleId="p129">
    <w:name w:val="p129"/>
    <w:basedOn w:val="Normal"/>
    <w:pPr>
      <w:spacing w:before="149"/>
      <w:ind w:left="105"/>
      <w:jc w:val="both"/>
    </w:pPr>
    <w:rPr>
      <w:rFonts w:ascii="Cambria" w:hAnsi="Cambria"/>
      <w:sz w:val="18"/>
      <w:szCs w:val="18"/>
    </w:rPr>
  </w:style>
  <w:style w:type="paragraph" w:customStyle="1" w:styleId="p130">
    <w:name w:val="p130"/>
    <w:basedOn w:val="Normal"/>
    <w:pPr>
      <w:spacing w:before="2"/>
    </w:pPr>
    <w:rPr>
      <w:rFonts w:ascii="Cambria" w:hAnsi="Cambria"/>
      <w:sz w:val="17"/>
      <w:szCs w:val="17"/>
    </w:rPr>
  </w:style>
  <w:style w:type="paragraph" w:customStyle="1" w:styleId="p134">
    <w:name w:val="p134"/>
    <w:basedOn w:val="Normal"/>
    <w:pPr>
      <w:spacing w:before="8"/>
    </w:pPr>
    <w:rPr>
      <w:sz w:val="25"/>
      <w:szCs w:val="25"/>
    </w:rPr>
  </w:style>
  <w:style w:type="paragraph" w:customStyle="1" w:styleId="p135">
    <w:name w:val="p135"/>
    <w:basedOn w:val="Normal"/>
    <w:pPr>
      <w:spacing w:before="155"/>
      <w:ind w:left="105"/>
      <w:jc w:val="both"/>
    </w:pPr>
    <w:rPr>
      <w:rFonts w:ascii="Cambria" w:hAnsi="Cambria"/>
      <w:sz w:val="18"/>
      <w:szCs w:val="18"/>
    </w:rPr>
  </w:style>
  <w:style w:type="paragraph" w:customStyle="1" w:styleId="p136">
    <w:name w:val="p136"/>
    <w:basedOn w:val="Normal"/>
    <w:pPr>
      <w:spacing w:before="104"/>
      <w:ind w:left="105"/>
      <w:jc w:val="both"/>
    </w:pPr>
    <w:rPr>
      <w:rFonts w:ascii="Cambria" w:hAnsi="Cambria"/>
      <w:sz w:val="18"/>
      <w:szCs w:val="18"/>
    </w:rPr>
  </w:style>
  <w:style w:type="paragraph" w:customStyle="1" w:styleId="p137">
    <w:name w:val="p137"/>
    <w:basedOn w:val="Normal"/>
    <w:pPr>
      <w:spacing w:before="9"/>
    </w:pPr>
    <w:rPr>
      <w:sz w:val="26"/>
      <w:szCs w:val="26"/>
    </w:rPr>
  </w:style>
  <w:style w:type="paragraph" w:customStyle="1" w:styleId="p138">
    <w:name w:val="p138"/>
    <w:basedOn w:val="Normal"/>
    <w:pPr>
      <w:spacing w:before="152" w:line="206" w:lineRule="atLeast"/>
      <w:ind w:left="105"/>
      <w:jc w:val="both"/>
    </w:pPr>
    <w:rPr>
      <w:rFonts w:ascii="Cambria" w:hAnsi="Cambria"/>
      <w:sz w:val="18"/>
      <w:szCs w:val="18"/>
    </w:rPr>
  </w:style>
  <w:style w:type="paragraph" w:customStyle="1" w:styleId="p140">
    <w:name w:val="p140"/>
    <w:basedOn w:val="Normal"/>
    <w:pPr>
      <w:spacing w:before="5"/>
    </w:pPr>
    <w:rPr>
      <w:sz w:val="15"/>
      <w:szCs w:val="15"/>
    </w:rPr>
  </w:style>
  <w:style w:type="paragraph" w:customStyle="1" w:styleId="p143">
    <w:name w:val="p143"/>
    <w:basedOn w:val="Normal"/>
    <w:pPr>
      <w:spacing w:before="9"/>
    </w:pPr>
    <w:rPr>
      <w:sz w:val="15"/>
      <w:szCs w:val="15"/>
    </w:rPr>
  </w:style>
  <w:style w:type="paragraph" w:customStyle="1" w:styleId="p144">
    <w:name w:val="p144"/>
    <w:basedOn w:val="Normal"/>
    <w:pPr>
      <w:spacing w:before="9"/>
    </w:pPr>
    <w:rPr>
      <w:rFonts w:ascii="Cambria" w:hAnsi="Cambria"/>
      <w:sz w:val="12"/>
      <w:szCs w:val="12"/>
    </w:rPr>
  </w:style>
  <w:style w:type="paragraph" w:customStyle="1" w:styleId="p145">
    <w:name w:val="p145"/>
    <w:basedOn w:val="Normal"/>
    <w:pPr>
      <w:spacing w:before="5"/>
    </w:pPr>
    <w:rPr>
      <w:sz w:val="25"/>
      <w:szCs w:val="25"/>
    </w:rPr>
  </w:style>
  <w:style w:type="paragraph" w:customStyle="1" w:styleId="p146">
    <w:name w:val="p146"/>
    <w:basedOn w:val="Normal"/>
    <w:pPr>
      <w:ind w:left="1758"/>
    </w:pPr>
    <w:rPr>
      <w:sz w:val="18"/>
      <w:szCs w:val="18"/>
    </w:rPr>
  </w:style>
  <w:style w:type="paragraph" w:customStyle="1" w:styleId="p147">
    <w:name w:val="p147"/>
    <w:basedOn w:val="Normal"/>
    <w:pPr>
      <w:ind w:left="237" w:hanging="29"/>
    </w:pPr>
    <w:rPr>
      <w:sz w:val="18"/>
      <w:szCs w:val="18"/>
    </w:rPr>
  </w:style>
  <w:style w:type="paragraph" w:customStyle="1" w:styleId="p148">
    <w:name w:val="p148"/>
    <w:basedOn w:val="Normal"/>
    <w:pPr>
      <w:spacing w:before="102"/>
      <w:jc w:val="center"/>
    </w:pPr>
    <w:rPr>
      <w:sz w:val="18"/>
      <w:szCs w:val="18"/>
    </w:rPr>
  </w:style>
  <w:style w:type="paragraph" w:customStyle="1" w:styleId="p149">
    <w:name w:val="p149"/>
    <w:basedOn w:val="Normal"/>
    <w:pPr>
      <w:spacing w:before="102"/>
      <w:ind w:left="537"/>
    </w:pPr>
    <w:rPr>
      <w:sz w:val="18"/>
      <w:szCs w:val="18"/>
    </w:rPr>
  </w:style>
  <w:style w:type="paragraph" w:customStyle="1" w:styleId="p150">
    <w:name w:val="p150"/>
    <w:basedOn w:val="Normal"/>
    <w:pPr>
      <w:spacing w:before="60"/>
      <w:ind w:left="77"/>
    </w:pPr>
    <w:rPr>
      <w:sz w:val="18"/>
      <w:szCs w:val="18"/>
    </w:rPr>
  </w:style>
  <w:style w:type="paragraph" w:customStyle="1" w:styleId="p151">
    <w:name w:val="p151"/>
    <w:basedOn w:val="Normal"/>
    <w:pPr>
      <w:spacing w:before="98"/>
      <w:ind w:left="77"/>
    </w:pPr>
    <w:rPr>
      <w:sz w:val="18"/>
      <w:szCs w:val="18"/>
    </w:rPr>
  </w:style>
  <w:style w:type="paragraph" w:customStyle="1" w:styleId="p152">
    <w:name w:val="p152"/>
    <w:basedOn w:val="Normal"/>
    <w:pPr>
      <w:spacing w:before="9"/>
    </w:pPr>
    <w:rPr>
      <w:sz w:val="13"/>
      <w:szCs w:val="13"/>
    </w:rPr>
  </w:style>
  <w:style w:type="paragraph" w:customStyle="1" w:styleId="p153">
    <w:name w:val="p153"/>
    <w:basedOn w:val="Normal"/>
    <w:pPr>
      <w:spacing w:before="156"/>
      <w:ind w:left="105"/>
      <w:jc w:val="both"/>
    </w:pPr>
    <w:rPr>
      <w:rFonts w:ascii="Cambria" w:hAnsi="Cambria"/>
      <w:sz w:val="18"/>
      <w:szCs w:val="18"/>
    </w:rPr>
  </w:style>
  <w:style w:type="paragraph" w:customStyle="1" w:styleId="p156">
    <w:name w:val="p156"/>
    <w:basedOn w:val="Normal"/>
    <w:pPr>
      <w:spacing w:before="6"/>
    </w:pPr>
    <w:rPr>
      <w:sz w:val="14"/>
      <w:szCs w:val="14"/>
    </w:rPr>
  </w:style>
  <w:style w:type="paragraph" w:customStyle="1" w:styleId="p157">
    <w:name w:val="p157"/>
    <w:basedOn w:val="Normal"/>
    <w:pPr>
      <w:spacing w:line="150" w:lineRule="atLeast"/>
      <w:ind w:left="264"/>
    </w:pPr>
    <w:rPr>
      <w:sz w:val="15"/>
      <w:szCs w:val="15"/>
    </w:rPr>
  </w:style>
  <w:style w:type="paragraph" w:customStyle="1" w:styleId="p158">
    <w:name w:val="p158"/>
    <w:basedOn w:val="Normal"/>
    <w:pPr>
      <w:spacing w:before="6"/>
    </w:pPr>
    <w:rPr>
      <w:sz w:val="23"/>
      <w:szCs w:val="23"/>
    </w:rPr>
  </w:style>
  <w:style w:type="paragraph" w:customStyle="1" w:styleId="p159">
    <w:name w:val="p159"/>
    <w:basedOn w:val="Normal"/>
    <w:pPr>
      <w:ind w:left="698" w:firstLine="285"/>
    </w:pPr>
    <w:rPr>
      <w:sz w:val="18"/>
      <w:szCs w:val="18"/>
    </w:rPr>
  </w:style>
  <w:style w:type="paragraph" w:customStyle="1" w:styleId="p160">
    <w:name w:val="p160"/>
    <w:basedOn w:val="Normal"/>
    <w:pPr>
      <w:spacing w:before="3"/>
    </w:pPr>
    <w:rPr>
      <w:sz w:val="13"/>
      <w:szCs w:val="13"/>
    </w:rPr>
  </w:style>
  <w:style w:type="paragraph" w:customStyle="1" w:styleId="p161">
    <w:name w:val="p161"/>
    <w:basedOn w:val="Normal"/>
    <w:pPr>
      <w:spacing w:line="150" w:lineRule="atLeast"/>
      <w:ind w:left="329"/>
    </w:pPr>
    <w:rPr>
      <w:sz w:val="15"/>
      <w:szCs w:val="15"/>
    </w:rPr>
  </w:style>
  <w:style w:type="paragraph" w:customStyle="1" w:styleId="p162">
    <w:name w:val="p162"/>
    <w:basedOn w:val="Normal"/>
    <w:pPr>
      <w:spacing w:before="2"/>
    </w:pPr>
    <w:rPr>
      <w:sz w:val="23"/>
      <w:szCs w:val="23"/>
    </w:rPr>
  </w:style>
  <w:style w:type="paragraph" w:customStyle="1" w:styleId="p163">
    <w:name w:val="p163"/>
    <w:basedOn w:val="Normal"/>
    <w:pPr>
      <w:ind w:left="698"/>
    </w:pPr>
    <w:rPr>
      <w:sz w:val="18"/>
      <w:szCs w:val="18"/>
    </w:rPr>
  </w:style>
  <w:style w:type="paragraph" w:customStyle="1" w:styleId="p164">
    <w:name w:val="p164"/>
    <w:basedOn w:val="Normal"/>
    <w:pPr>
      <w:spacing w:before="2"/>
    </w:pPr>
    <w:rPr>
      <w:sz w:val="15"/>
      <w:szCs w:val="15"/>
    </w:rPr>
  </w:style>
  <w:style w:type="paragraph" w:customStyle="1" w:styleId="p165">
    <w:name w:val="p165"/>
    <w:basedOn w:val="Normal"/>
    <w:pPr>
      <w:spacing w:line="150" w:lineRule="atLeast"/>
      <w:ind w:left="119"/>
    </w:pPr>
    <w:rPr>
      <w:sz w:val="15"/>
      <w:szCs w:val="15"/>
    </w:rPr>
  </w:style>
  <w:style w:type="paragraph" w:customStyle="1" w:styleId="p166">
    <w:name w:val="p166"/>
    <w:basedOn w:val="Normal"/>
    <w:pPr>
      <w:spacing w:before="8"/>
    </w:pPr>
    <w:rPr>
      <w:sz w:val="8"/>
      <w:szCs w:val="8"/>
    </w:rPr>
  </w:style>
  <w:style w:type="paragraph" w:customStyle="1" w:styleId="p167">
    <w:name w:val="p167"/>
    <w:basedOn w:val="Normal"/>
    <w:pPr>
      <w:spacing w:line="150" w:lineRule="atLeast"/>
      <w:ind w:left="471"/>
    </w:pPr>
    <w:rPr>
      <w:sz w:val="15"/>
      <w:szCs w:val="15"/>
    </w:rPr>
  </w:style>
  <w:style w:type="paragraph" w:customStyle="1" w:styleId="p168">
    <w:name w:val="p168"/>
    <w:basedOn w:val="Normal"/>
    <w:pPr>
      <w:spacing w:before="3"/>
    </w:pPr>
    <w:rPr>
      <w:sz w:val="14"/>
      <w:szCs w:val="14"/>
    </w:rPr>
  </w:style>
  <w:style w:type="paragraph" w:customStyle="1" w:styleId="p169">
    <w:name w:val="p169"/>
    <w:basedOn w:val="Normal"/>
    <w:pPr>
      <w:ind w:left="645"/>
    </w:pPr>
    <w:rPr>
      <w:rFonts w:ascii="Cambria" w:hAnsi="Cambria"/>
      <w:sz w:val="18"/>
      <w:szCs w:val="18"/>
    </w:rPr>
  </w:style>
  <w:style w:type="paragraph" w:customStyle="1" w:styleId="p170">
    <w:name w:val="p170"/>
    <w:basedOn w:val="Normal"/>
    <w:pPr>
      <w:spacing w:before="2"/>
    </w:pPr>
    <w:rPr>
      <w:rFonts w:ascii="Cambria" w:hAnsi="Cambria"/>
      <w:sz w:val="17"/>
      <w:szCs w:val="17"/>
    </w:rPr>
  </w:style>
  <w:style w:type="character" w:customStyle="1" w:styleId="s1">
    <w:name w:val="s1"/>
    <w:rPr>
      <w:spacing w:val="-2"/>
      <w:u w:val="single"/>
    </w:rPr>
  </w:style>
  <w:style w:type="character" w:customStyle="1" w:styleId="s2">
    <w:name w:val="s2"/>
    <w:rPr>
      <w:spacing w:val="2"/>
      <w:u w:val="single"/>
    </w:rPr>
  </w:style>
  <w:style w:type="character" w:customStyle="1" w:styleId="s3">
    <w:name w:val="s3"/>
    <w:rPr>
      <w:u w:val="single"/>
    </w:rPr>
  </w:style>
  <w:style w:type="character" w:customStyle="1" w:styleId="s4">
    <w:name w:val="s4"/>
    <w:rPr>
      <w:spacing w:val="-2"/>
    </w:rPr>
  </w:style>
  <w:style w:type="character" w:customStyle="1" w:styleId="s5">
    <w:name w:val="s5"/>
    <w:rPr>
      <w:spacing w:val="2"/>
    </w:rPr>
  </w:style>
  <w:style w:type="character" w:customStyle="1" w:styleId="s6">
    <w:name w:val="s6"/>
    <w:rPr>
      <w:spacing w:val="72"/>
    </w:rPr>
  </w:style>
  <w:style w:type="character" w:customStyle="1" w:styleId="s7">
    <w:name w:val="s7"/>
    <w:rPr>
      <w:spacing w:val="12"/>
    </w:rPr>
  </w:style>
  <w:style w:type="character" w:customStyle="1" w:styleId="s8">
    <w:name w:val="s8"/>
    <w:rPr>
      <w:spacing w:val="14"/>
    </w:rPr>
  </w:style>
  <w:style w:type="character" w:customStyle="1" w:styleId="s9">
    <w:name w:val="s9"/>
    <w:rPr>
      <w:spacing w:val="75"/>
    </w:rPr>
  </w:style>
  <w:style w:type="character" w:customStyle="1" w:styleId="s10">
    <w:name w:val="s10"/>
    <w:rPr>
      <w:spacing w:val="24"/>
    </w:rPr>
  </w:style>
  <w:style w:type="character" w:customStyle="1" w:styleId="s11">
    <w:name w:val="s11"/>
    <w:rPr>
      <w:spacing w:val="26"/>
    </w:rPr>
  </w:style>
  <w:style w:type="character" w:customStyle="1" w:styleId="s12">
    <w:name w:val="s12"/>
    <w:rPr>
      <w:spacing w:val="60"/>
    </w:rPr>
  </w:style>
  <w:style w:type="character" w:customStyle="1" w:styleId="s13">
    <w:name w:val="s13"/>
    <w:rPr>
      <w:spacing w:val="32"/>
    </w:rPr>
  </w:style>
  <w:style w:type="character" w:customStyle="1" w:styleId="s14">
    <w:name w:val="s14"/>
    <w:rPr>
      <w:spacing w:val="30"/>
    </w:rPr>
  </w:style>
  <w:style w:type="character" w:customStyle="1" w:styleId="s15">
    <w:name w:val="s15"/>
    <w:rPr>
      <w:spacing w:val="68"/>
    </w:rPr>
  </w:style>
  <w:style w:type="character" w:customStyle="1" w:styleId="s16">
    <w:name w:val="s16"/>
    <w:rPr>
      <w:spacing w:val="36"/>
    </w:rPr>
  </w:style>
  <w:style w:type="character" w:customStyle="1" w:styleId="s17">
    <w:name w:val="s17"/>
    <w:rPr>
      <w:spacing w:val="33"/>
    </w:rPr>
  </w:style>
  <w:style w:type="character" w:customStyle="1" w:styleId="s18">
    <w:name w:val="s18"/>
    <w:rPr>
      <w:spacing w:val="48"/>
    </w:rPr>
  </w:style>
  <w:style w:type="character" w:customStyle="1" w:styleId="s19">
    <w:name w:val="s19"/>
    <w:rPr>
      <w:spacing w:val="27"/>
    </w:rPr>
  </w:style>
  <w:style w:type="character" w:customStyle="1" w:styleId="s20">
    <w:name w:val="s20"/>
    <w:rPr>
      <w:spacing w:val="29"/>
    </w:rPr>
  </w:style>
  <w:style w:type="character" w:customStyle="1" w:styleId="s21">
    <w:name w:val="s21"/>
    <w:rPr>
      <w:spacing w:val="63"/>
    </w:rPr>
  </w:style>
  <w:style w:type="character" w:customStyle="1" w:styleId="s22">
    <w:name w:val="s22"/>
    <w:rPr>
      <w:spacing w:val="8"/>
    </w:rPr>
  </w:style>
  <w:style w:type="character" w:customStyle="1" w:styleId="s23">
    <w:name w:val="s23"/>
    <w:rPr>
      <w:spacing w:val="11"/>
    </w:rPr>
  </w:style>
  <w:style w:type="character" w:customStyle="1" w:styleId="s24">
    <w:name w:val="s24"/>
    <w:rPr>
      <w:spacing w:val="6"/>
    </w:rPr>
  </w:style>
  <w:style w:type="character" w:customStyle="1" w:styleId="s25">
    <w:name w:val="s25"/>
    <w:rPr>
      <w:spacing w:val="9"/>
    </w:rPr>
  </w:style>
  <w:style w:type="character" w:customStyle="1" w:styleId="s26">
    <w:name w:val="s26"/>
    <w:rPr>
      <w:spacing w:val="3"/>
    </w:rPr>
  </w:style>
  <w:style w:type="character" w:customStyle="1" w:styleId="s27">
    <w:name w:val="s27"/>
    <w:rPr>
      <w:spacing w:val="53"/>
    </w:rPr>
  </w:style>
  <w:style w:type="character" w:customStyle="1" w:styleId="s28">
    <w:name w:val="s28"/>
    <w:rPr>
      <w:spacing w:val="54"/>
    </w:rPr>
  </w:style>
  <w:style w:type="character" w:customStyle="1" w:styleId="s29">
    <w:name w:val="s29"/>
    <w:rPr>
      <w:spacing w:val="17"/>
    </w:rPr>
  </w:style>
  <w:style w:type="character" w:customStyle="1" w:styleId="s30">
    <w:name w:val="s30"/>
    <w:rPr>
      <w:spacing w:val="15"/>
    </w:rPr>
  </w:style>
  <w:style w:type="character" w:customStyle="1" w:styleId="s31">
    <w:name w:val="s31"/>
    <w:rPr>
      <w:spacing w:val="18"/>
    </w:rPr>
  </w:style>
  <w:style w:type="character" w:customStyle="1" w:styleId="s32">
    <w:name w:val="s32"/>
    <w:rPr>
      <w:spacing w:val="45"/>
    </w:rPr>
  </w:style>
  <w:style w:type="character" w:customStyle="1" w:styleId="s33">
    <w:name w:val="s33"/>
    <w:rPr>
      <w:spacing w:val="5"/>
    </w:rPr>
  </w:style>
  <w:style w:type="character" w:customStyle="1" w:styleId="s34">
    <w:name w:val="s34"/>
    <w:rPr>
      <w:spacing w:val="-12"/>
    </w:rPr>
  </w:style>
  <w:style w:type="character" w:customStyle="1" w:styleId="s35">
    <w:name w:val="s35"/>
    <w:rPr>
      <w:spacing w:val="38"/>
    </w:rPr>
  </w:style>
  <w:style w:type="character" w:customStyle="1" w:styleId="s36">
    <w:name w:val="s36"/>
    <w:rPr>
      <w:spacing w:val="35"/>
    </w:rPr>
  </w:style>
  <w:style w:type="character" w:customStyle="1" w:styleId="s37">
    <w:name w:val="s37"/>
    <w:rPr>
      <w:spacing w:val="20"/>
    </w:rPr>
  </w:style>
  <w:style w:type="character" w:customStyle="1" w:styleId="s38">
    <w:name w:val="s38"/>
    <w:rPr>
      <w:spacing w:val="-3"/>
    </w:rPr>
  </w:style>
  <w:style w:type="character" w:customStyle="1" w:styleId="s39">
    <w:name w:val="s39"/>
    <w:rPr>
      <w:rFonts w:ascii="Tahoma" w:hAnsi="Tahoma" w:cs="Tahoma" w:hint="default"/>
      <w:sz w:val="18"/>
      <w:szCs w:val="18"/>
    </w:rPr>
  </w:style>
  <w:style w:type="character" w:customStyle="1" w:styleId="s40">
    <w:name w:val="s40"/>
    <w:rPr>
      <w:rFonts w:ascii="Tahoma" w:hAnsi="Tahoma" w:cs="Tahoma" w:hint="default"/>
      <w:spacing w:val="11"/>
      <w:sz w:val="18"/>
      <w:szCs w:val="18"/>
    </w:rPr>
  </w:style>
  <w:style w:type="character" w:customStyle="1" w:styleId="s41">
    <w:name w:val="s41"/>
    <w:rPr>
      <w:spacing w:val="21"/>
    </w:rPr>
  </w:style>
  <w:style w:type="character" w:customStyle="1" w:styleId="s42">
    <w:name w:val="s42"/>
    <w:rPr>
      <w:spacing w:val="59"/>
    </w:rPr>
  </w:style>
  <w:style w:type="character" w:customStyle="1" w:styleId="s43">
    <w:name w:val="s43"/>
    <w:rPr>
      <w:spacing w:val="23"/>
    </w:rPr>
  </w:style>
  <w:style w:type="character" w:customStyle="1" w:styleId="s44">
    <w:name w:val="s44"/>
    <w:rPr>
      <w:spacing w:val="51"/>
    </w:rPr>
  </w:style>
  <w:style w:type="character" w:customStyle="1" w:styleId="s45">
    <w:name w:val="s45"/>
    <w:rPr>
      <w:spacing w:val="41"/>
    </w:rPr>
  </w:style>
  <w:style w:type="character" w:customStyle="1" w:styleId="s46">
    <w:name w:val="s46"/>
    <w:rPr>
      <w:spacing w:val="42"/>
    </w:rPr>
  </w:style>
  <w:style w:type="character" w:customStyle="1" w:styleId="s47">
    <w:name w:val="s47"/>
    <w:rPr>
      <w:spacing w:val="39"/>
    </w:rPr>
  </w:style>
  <w:style w:type="character" w:customStyle="1" w:styleId="s48">
    <w:name w:val="s48"/>
    <w:rPr>
      <w:spacing w:val="47"/>
    </w:rPr>
  </w:style>
  <w:style w:type="character" w:customStyle="1" w:styleId="s49">
    <w:name w:val="s49"/>
    <w:rPr>
      <w:spacing w:val="-5"/>
    </w:rPr>
  </w:style>
  <w:style w:type="character" w:customStyle="1" w:styleId="s50">
    <w:name w:val="s50"/>
    <w:rPr>
      <w:spacing w:val="44"/>
    </w:rPr>
  </w:style>
  <w:style w:type="character" w:customStyle="1" w:styleId="s51">
    <w:name w:val="s51"/>
    <w:rPr>
      <w:spacing w:val="65"/>
    </w:rPr>
  </w:style>
  <w:style w:type="character" w:customStyle="1" w:styleId="s52">
    <w:name w:val="s52"/>
    <w:rPr>
      <w:spacing w:val="78"/>
    </w:rPr>
  </w:style>
  <w:style w:type="character" w:customStyle="1" w:styleId="s53">
    <w:name w:val="s53"/>
    <w:rPr>
      <w:spacing w:val="69"/>
    </w:rPr>
  </w:style>
  <w:style w:type="character" w:customStyle="1" w:styleId="s54">
    <w:name w:val="s54"/>
    <w:rPr>
      <w:spacing w:val="57"/>
    </w:rPr>
  </w:style>
  <w:style w:type="character" w:customStyle="1" w:styleId="s55">
    <w:name w:val="s55"/>
    <w:rPr>
      <w:spacing w:val="71"/>
    </w:rPr>
  </w:style>
  <w:style w:type="character" w:customStyle="1" w:styleId="s56">
    <w:name w:val="s56"/>
    <w:rPr>
      <w:spacing w:val="87"/>
    </w:rPr>
  </w:style>
  <w:style w:type="character" w:customStyle="1" w:styleId="s57">
    <w:name w:val="s57"/>
    <w:rPr>
      <w:spacing w:val="80"/>
    </w:rPr>
  </w:style>
  <w:style w:type="character" w:customStyle="1" w:styleId="s58">
    <w:name w:val="s58"/>
    <w:rPr>
      <w:rFonts w:ascii="Times New Roman" w:hAnsi="Times New Roman" w:cs="Times New Roman" w:hint="default"/>
      <w:position w:val="3079"/>
      <w:sz w:val="12"/>
      <w:szCs w:val="12"/>
    </w:rPr>
  </w:style>
  <w:style w:type="character" w:customStyle="1" w:styleId="s59">
    <w:name w:val="s59"/>
    <w:rPr>
      <w:spacing w:val="-5"/>
      <w:u w:val="single"/>
    </w:rPr>
  </w:style>
  <w:style w:type="character" w:customStyle="1" w:styleId="s60">
    <w:name w:val="s60"/>
    <w:rPr>
      <w:spacing w:val="86"/>
    </w:rPr>
  </w:style>
  <w:style w:type="character" w:customStyle="1" w:styleId="s61">
    <w:name w:val="s61"/>
    <w:rPr>
      <w:spacing w:val="83"/>
    </w:rPr>
  </w:style>
  <w:style w:type="character" w:customStyle="1" w:styleId="s62">
    <w:name w:val="s62"/>
    <w:rPr>
      <w:spacing w:val="-3"/>
      <w:u w:val="single"/>
    </w:rPr>
  </w:style>
  <w:style w:type="character" w:customStyle="1" w:styleId="s63">
    <w:name w:val="s63"/>
    <w:rPr>
      <w:spacing w:val="24"/>
      <w:u w:val="single"/>
    </w:rPr>
  </w:style>
  <w:style w:type="character" w:customStyle="1" w:styleId="s64">
    <w:name w:val="s64"/>
    <w:rPr>
      <w:spacing w:val="5"/>
      <w:u w:val="single"/>
    </w:rPr>
  </w:style>
  <w:style w:type="character" w:customStyle="1" w:styleId="s65">
    <w:name w:val="s65"/>
    <w:rPr>
      <w:spacing w:val="29"/>
      <w:u w:val="single"/>
    </w:rPr>
  </w:style>
  <w:style w:type="character" w:customStyle="1" w:styleId="s66">
    <w:name w:val="s66"/>
    <w:rPr>
      <w:spacing w:val="30"/>
      <w:u w:val="single"/>
    </w:rPr>
  </w:style>
  <w:style w:type="character" w:customStyle="1" w:styleId="s67">
    <w:name w:val="s67"/>
    <w:rPr>
      <w:spacing w:val="3"/>
      <w:u w:val="single"/>
    </w:rPr>
  </w:style>
  <w:style w:type="character" w:customStyle="1" w:styleId="s68">
    <w:name w:val="s68"/>
    <w:rPr>
      <w:spacing w:val="-6"/>
    </w:rPr>
  </w:style>
  <w:style w:type="character" w:customStyle="1" w:styleId="s69">
    <w:name w:val="s69"/>
    <w:rPr>
      <w:spacing w:val="11"/>
      <w:u w:val="single"/>
    </w:rPr>
  </w:style>
  <w:style w:type="character" w:customStyle="1" w:styleId="s70">
    <w:name w:val="s70"/>
    <w:rPr>
      <w:spacing w:val="33"/>
      <w:u w:val="single"/>
    </w:rPr>
  </w:style>
  <w:style w:type="character" w:customStyle="1" w:styleId="s71">
    <w:name w:val="s71"/>
    <w:rPr>
      <w:spacing w:val="-11"/>
    </w:rPr>
  </w:style>
  <w:style w:type="paragraph" w:customStyle="1" w:styleId="p17">
    <w:name w:val="p17"/>
    <w:basedOn w:val="Normal"/>
    <w:pPr>
      <w:spacing w:before="191"/>
      <w:jc w:val="center"/>
    </w:pPr>
    <w:rPr>
      <w:rFonts w:ascii="Arial" w:hAnsi="Arial" w:cs="Arial"/>
      <w:sz w:val="17"/>
      <w:szCs w:val="17"/>
    </w:rPr>
  </w:style>
  <w:style w:type="paragraph" w:customStyle="1" w:styleId="p18">
    <w:name w:val="p18"/>
    <w:basedOn w:val="Normal"/>
    <w:pPr>
      <w:spacing w:before="179"/>
      <w:jc w:val="center"/>
    </w:pPr>
    <w:rPr>
      <w:rFonts w:ascii="Arial" w:hAnsi="Arial" w:cs="Arial"/>
      <w:sz w:val="17"/>
      <w:szCs w:val="17"/>
    </w:rPr>
  </w:style>
  <w:style w:type="paragraph" w:customStyle="1" w:styleId="p31">
    <w:name w:val="p31"/>
    <w:basedOn w:val="Normal"/>
    <w:pPr>
      <w:spacing w:before="8"/>
    </w:pPr>
    <w:rPr>
      <w:rFonts w:ascii="Arial" w:hAnsi="Arial" w:cs="Arial"/>
      <w:sz w:val="20"/>
    </w:rPr>
  </w:style>
  <w:style w:type="paragraph" w:customStyle="1" w:styleId="p32">
    <w:name w:val="p32"/>
    <w:basedOn w:val="Normal"/>
    <w:pPr>
      <w:spacing w:before="3"/>
      <w:ind w:left="1080"/>
    </w:pPr>
    <w:rPr>
      <w:rFonts w:ascii="Arial" w:hAnsi="Arial" w:cs="Arial"/>
      <w:sz w:val="17"/>
      <w:szCs w:val="17"/>
    </w:rPr>
  </w:style>
  <w:style w:type="paragraph" w:customStyle="1" w:styleId="p43">
    <w:name w:val="p43"/>
    <w:basedOn w:val="Normal"/>
    <w:pPr>
      <w:spacing w:before="5"/>
    </w:pPr>
    <w:rPr>
      <w:rFonts w:ascii="Arial" w:hAnsi="Arial" w:cs="Arial"/>
      <w:sz w:val="15"/>
      <w:szCs w:val="15"/>
    </w:rPr>
  </w:style>
  <w:style w:type="paragraph" w:customStyle="1" w:styleId="p46">
    <w:name w:val="p46"/>
    <w:basedOn w:val="Normal"/>
    <w:pPr>
      <w:spacing w:before="6"/>
    </w:pPr>
    <w:rPr>
      <w:rFonts w:ascii="Arial" w:hAnsi="Arial" w:cs="Arial"/>
      <w:sz w:val="16"/>
      <w:szCs w:val="16"/>
    </w:rPr>
  </w:style>
  <w:style w:type="paragraph" w:customStyle="1" w:styleId="p58">
    <w:name w:val="p58"/>
    <w:basedOn w:val="Normal"/>
    <w:pPr>
      <w:spacing w:before="2"/>
    </w:pPr>
    <w:rPr>
      <w:rFonts w:ascii="Arial" w:hAnsi="Arial" w:cs="Arial"/>
      <w:sz w:val="11"/>
      <w:szCs w:val="11"/>
    </w:rPr>
  </w:style>
  <w:style w:type="paragraph" w:customStyle="1" w:styleId="p59">
    <w:name w:val="p59"/>
    <w:basedOn w:val="Normal"/>
    <w:pPr>
      <w:spacing w:before="56"/>
      <w:ind w:left="1070"/>
    </w:pPr>
    <w:rPr>
      <w:rFonts w:ascii="Arial" w:hAnsi="Arial" w:cs="Arial"/>
      <w:sz w:val="15"/>
      <w:szCs w:val="15"/>
    </w:rPr>
  </w:style>
  <w:style w:type="paragraph" w:customStyle="1" w:styleId="p63">
    <w:name w:val="p63"/>
    <w:basedOn w:val="Normal"/>
    <w:pPr>
      <w:ind w:left="1620"/>
      <w:jc w:val="both"/>
    </w:pPr>
    <w:rPr>
      <w:rFonts w:ascii="Arial" w:hAnsi="Arial" w:cs="Arial"/>
      <w:sz w:val="17"/>
      <w:szCs w:val="17"/>
    </w:rPr>
  </w:style>
  <w:style w:type="paragraph" w:customStyle="1" w:styleId="p64">
    <w:name w:val="p64"/>
    <w:basedOn w:val="Normal"/>
    <w:pPr>
      <w:spacing w:before="2"/>
    </w:pPr>
    <w:rPr>
      <w:rFonts w:ascii="Arial" w:hAnsi="Arial" w:cs="Arial"/>
      <w:sz w:val="15"/>
      <w:szCs w:val="15"/>
    </w:rPr>
  </w:style>
  <w:style w:type="paragraph" w:customStyle="1" w:styleId="p65">
    <w:name w:val="p65"/>
    <w:basedOn w:val="Normal"/>
    <w:pPr>
      <w:spacing w:before="3"/>
    </w:pPr>
    <w:rPr>
      <w:rFonts w:ascii="Arial" w:hAnsi="Arial" w:cs="Arial"/>
      <w:sz w:val="15"/>
      <w:szCs w:val="15"/>
    </w:rPr>
  </w:style>
  <w:style w:type="paragraph" w:customStyle="1" w:styleId="p66">
    <w:name w:val="p66"/>
    <w:basedOn w:val="Normal"/>
    <w:pPr>
      <w:spacing w:before="6"/>
    </w:pPr>
    <w:rPr>
      <w:rFonts w:ascii="Arial" w:hAnsi="Arial" w:cs="Arial"/>
      <w:sz w:val="15"/>
      <w:szCs w:val="15"/>
    </w:rPr>
  </w:style>
  <w:style w:type="paragraph" w:customStyle="1" w:styleId="p67">
    <w:name w:val="p67"/>
    <w:basedOn w:val="Normal"/>
    <w:pPr>
      <w:spacing w:before="9"/>
    </w:pPr>
    <w:rPr>
      <w:rFonts w:ascii="Arial" w:hAnsi="Arial" w:cs="Arial"/>
      <w:sz w:val="13"/>
      <w:szCs w:val="13"/>
    </w:rPr>
  </w:style>
  <w:style w:type="paragraph" w:customStyle="1" w:styleId="p68">
    <w:name w:val="p68"/>
    <w:basedOn w:val="Normal"/>
    <w:pPr>
      <w:spacing w:before="3"/>
      <w:ind w:left="1620"/>
      <w:jc w:val="both"/>
    </w:pPr>
    <w:rPr>
      <w:rFonts w:ascii="Arial" w:hAnsi="Arial" w:cs="Arial"/>
      <w:sz w:val="17"/>
      <w:szCs w:val="17"/>
    </w:rPr>
  </w:style>
  <w:style w:type="paragraph" w:customStyle="1" w:styleId="p101">
    <w:name w:val="p101"/>
    <w:basedOn w:val="Normal"/>
    <w:pPr>
      <w:spacing w:before="2"/>
    </w:pPr>
    <w:rPr>
      <w:rFonts w:ascii="Arial" w:hAnsi="Arial" w:cs="Arial"/>
      <w:sz w:val="2"/>
      <w:szCs w:val="2"/>
    </w:rPr>
  </w:style>
  <w:style w:type="paragraph" w:customStyle="1" w:styleId="p102">
    <w:name w:val="p102"/>
    <w:basedOn w:val="Normal"/>
    <w:pPr>
      <w:spacing w:before="2"/>
    </w:pPr>
    <w:rPr>
      <w:rFonts w:ascii="Arial" w:hAnsi="Arial" w:cs="Arial"/>
      <w:sz w:val="10"/>
      <w:szCs w:val="10"/>
    </w:rPr>
  </w:style>
  <w:style w:type="paragraph" w:customStyle="1" w:styleId="p103">
    <w:name w:val="p103"/>
    <w:basedOn w:val="Normal"/>
    <w:pPr>
      <w:spacing w:before="2"/>
      <w:ind w:left="2726"/>
      <w:jc w:val="both"/>
    </w:pPr>
    <w:rPr>
      <w:rFonts w:ascii="Arial" w:hAnsi="Arial" w:cs="Arial"/>
      <w:sz w:val="17"/>
      <w:szCs w:val="17"/>
    </w:rPr>
  </w:style>
  <w:style w:type="paragraph" w:customStyle="1" w:styleId="p105">
    <w:name w:val="p105"/>
    <w:basedOn w:val="Normal"/>
    <w:pPr>
      <w:spacing w:line="189" w:lineRule="atLeast"/>
      <w:ind w:left="2172"/>
    </w:pPr>
    <w:rPr>
      <w:rFonts w:ascii="Arial" w:hAnsi="Arial" w:cs="Arial"/>
      <w:sz w:val="17"/>
      <w:szCs w:val="17"/>
    </w:rPr>
  </w:style>
  <w:style w:type="paragraph" w:customStyle="1" w:styleId="p110">
    <w:name w:val="p110"/>
    <w:basedOn w:val="Normal"/>
    <w:pPr>
      <w:spacing w:line="189" w:lineRule="atLeast"/>
      <w:ind w:left="2172"/>
      <w:jc w:val="both"/>
    </w:pPr>
    <w:rPr>
      <w:rFonts w:ascii="Arial" w:hAnsi="Arial" w:cs="Arial"/>
      <w:sz w:val="17"/>
      <w:szCs w:val="17"/>
    </w:rPr>
  </w:style>
  <w:style w:type="paragraph" w:customStyle="1" w:styleId="p120">
    <w:name w:val="p120"/>
    <w:basedOn w:val="Normal"/>
    <w:pPr>
      <w:spacing w:before="3"/>
    </w:pPr>
    <w:rPr>
      <w:rFonts w:ascii="Arial" w:hAnsi="Arial" w:cs="Arial"/>
      <w:sz w:val="10"/>
      <w:szCs w:val="10"/>
    </w:rPr>
  </w:style>
  <w:style w:type="paragraph" w:customStyle="1" w:styleId="p124">
    <w:name w:val="p124"/>
    <w:basedOn w:val="Normal"/>
    <w:pPr>
      <w:spacing w:before="3"/>
    </w:pPr>
    <w:rPr>
      <w:rFonts w:ascii="Arial" w:hAnsi="Arial" w:cs="Arial"/>
      <w:sz w:val="23"/>
      <w:szCs w:val="23"/>
    </w:rPr>
  </w:style>
  <w:style w:type="paragraph" w:customStyle="1" w:styleId="p131">
    <w:name w:val="p131"/>
    <w:basedOn w:val="Normal"/>
    <w:pPr>
      <w:spacing w:before="8"/>
    </w:pPr>
    <w:rPr>
      <w:rFonts w:ascii="Arial" w:hAnsi="Arial" w:cs="Arial"/>
      <w:sz w:val="16"/>
      <w:szCs w:val="16"/>
    </w:rPr>
  </w:style>
  <w:style w:type="paragraph" w:customStyle="1" w:styleId="p132">
    <w:name w:val="p132"/>
    <w:basedOn w:val="Normal"/>
    <w:pPr>
      <w:spacing w:before="6"/>
    </w:pPr>
    <w:rPr>
      <w:sz w:val="14"/>
      <w:szCs w:val="14"/>
    </w:rPr>
  </w:style>
  <w:style w:type="paragraph" w:customStyle="1" w:styleId="p139">
    <w:name w:val="p139"/>
    <w:basedOn w:val="Normal"/>
    <w:pPr>
      <w:spacing w:line="188" w:lineRule="atLeast"/>
      <w:ind w:left="77"/>
      <w:jc w:val="both"/>
    </w:pPr>
    <w:rPr>
      <w:rFonts w:ascii="Arial" w:hAnsi="Arial" w:cs="Arial"/>
      <w:sz w:val="17"/>
      <w:szCs w:val="17"/>
    </w:rPr>
  </w:style>
  <w:style w:type="paragraph" w:customStyle="1" w:styleId="p141">
    <w:name w:val="p141"/>
    <w:basedOn w:val="Normal"/>
    <w:pPr>
      <w:spacing w:before="87"/>
      <w:ind w:left="77"/>
    </w:pPr>
    <w:rPr>
      <w:rFonts w:ascii="Arial" w:hAnsi="Arial" w:cs="Arial"/>
      <w:color w:val="0084CC"/>
      <w:sz w:val="17"/>
      <w:szCs w:val="17"/>
    </w:rPr>
  </w:style>
  <w:style w:type="paragraph" w:customStyle="1" w:styleId="p142">
    <w:name w:val="p142"/>
    <w:basedOn w:val="Normal"/>
    <w:pPr>
      <w:spacing w:before="93"/>
      <w:ind w:left="77"/>
    </w:pPr>
    <w:rPr>
      <w:rFonts w:ascii="Arial" w:hAnsi="Arial" w:cs="Arial"/>
      <w:sz w:val="17"/>
      <w:szCs w:val="17"/>
    </w:rPr>
  </w:style>
  <w:style w:type="paragraph" w:customStyle="1" w:styleId="p154">
    <w:name w:val="p154"/>
    <w:basedOn w:val="Normal"/>
    <w:pPr>
      <w:spacing w:before="3"/>
    </w:pPr>
    <w:rPr>
      <w:sz w:val="22"/>
      <w:szCs w:val="22"/>
    </w:rPr>
  </w:style>
  <w:style w:type="paragraph" w:customStyle="1" w:styleId="p155">
    <w:name w:val="p155"/>
    <w:basedOn w:val="Normal"/>
    <w:pPr>
      <w:ind w:left="87"/>
      <w:jc w:val="center"/>
    </w:pPr>
    <w:rPr>
      <w:rFonts w:ascii="Arial" w:hAnsi="Arial" w:cs="Arial"/>
      <w:sz w:val="17"/>
      <w:szCs w:val="17"/>
    </w:rPr>
  </w:style>
  <w:style w:type="character" w:customStyle="1" w:styleId="apple-tab-span">
    <w:name w:val="apple-tab-span"/>
    <w:basedOn w:val="Fuentedeprrafopredeter"/>
  </w:style>
  <w:style w:type="paragraph" w:customStyle="1" w:styleId="SEC3h2">
    <w:name w:val="SEC3 h2"/>
    <w:basedOn w:val="Normal"/>
    <w:link w:val="SEC3h2Char"/>
    <w:qFormat/>
    <w:pPr>
      <w:spacing w:after="200"/>
    </w:pPr>
    <w:rPr>
      <w:b/>
      <w:iCs/>
      <w:sz w:val="28"/>
    </w:rPr>
  </w:style>
  <w:style w:type="character" w:customStyle="1" w:styleId="SEC3h2Char">
    <w:name w:val="SEC3 h2 Char"/>
    <w:basedOn w:val="Fuentedeprrafopredeter"/>
    <w:link w:val="SEC3h2"/>
    <w:rPr>
      <w:b/>
      <w:iCs/>
      <w:sz w:val="28"/>
      <w:szCs w:val="24"/>
    </w:rPr>
  </w:style>
  <w:style w:type="paragraph" w:customStyle="1" w:styleId="BlockQuotation">
    <w:name w:val="Block Quotation"/>
    <w:basedOn w:val="Normal"/>
    <w:uiPriority w:val="99"/>
    <w:pPr>
      <w:ind w:left="855" w:right="-72" w:hanging="315"/>
      <w:jc w:val="both"/>
    </w:pPr>
  </w:style>
  <w:style w:type="paragraph" w:styleId="Tabladeilustraciones">
    <w:name w:val="table of figures"/>
    <w:basedOn w:val="Normal"/>
    <w:next w:val="Normal"/>
    <w:uiPriority w:val="99"/>
    <w:pPr>
      <w:ind w:left="480" w:hanging="480"/>
      <w:jc w:val="both"/>
    </w:pPr>
  </w:style>
  <w:style w:type="paragraph" w:customStyle="1" w:styleId="pq-annexb">
    <w:name w:val="pq-annexb"/>
    <w:basedOn w:val="Normal"/>
    <w:uiPriority w:val="99"/>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Pr>
      <w:rFonts w:ascii="Arial" w:hAnsi="Arial"/>
      <w:b/>
      <w:bCs/>
      <w:lang w:val="es-ES_tradnl"/>
    </w:rPr>
  </w:style>
  <w:style w:type="paragraph" w:customStyle="1" w:styleId="FooterLandscape">
    <w:name w:val="Footer Landscape"/>
    <w:basedOn w:val="Piedepgina"/>
    <w:next w:val="Normal"/>
    <w:uiPriority w:val="99"/>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pPr>
      <w:suppressAutoHyphens/>
      <w:jc w:val="center"/>
    </w:pPr>
    <w:rPr>
      <w:b/>
      <w:sz w:val="28"/>
    </w:rPr>
  </w:style>
  <w:style w:type="paragraph" w:customStyle="1" w:styleId="TextBoxdots">
    <w:name w:val="Text Box (dots)"/>
    <w:basedOn w:val="Normal"/>
    <w:uiPriority w:val="99"/>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pPr>
      <w:suppressAutoHyphens/>
      <w:ind w:left="720" w:hanging="720"/>
      <w:jc w:val="both"/>
    </w:pPr>
  </w:style>
  <w:style w:type="paragraph" w:customStyle="1" w:styleId="a">
    <w:name w:val="(a)"/>
    <w:basedOn w:val="Normal"/>
    <w:uiPriority w:val="99"/>
    <w:pPr>
      <w:suppressAutoHyphens/>
      <w:ind w:left="1440" w:hanging="720"/>
      <w:jc w:val="both"/>
    </w:pPr>
  </w:style>
  <w:style w:type="paragraph" w:customStyle="1" w:styleId="StyleHeader1-ClausesAfter10pt">
    <w:name w:val="Style Header 1 - Clauses + After:  10 pt"/>
    <w:basedOn w:val="Header1-Clauses"/>
    <w:autoRedefine/>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Pr>
      <w:rFonts w:cs="‚l‚r –¾’©"/>
      <w:noProof/>
      <w:sz w:val="21"/>
      <w:szCs w:val="24"/>
      <w:lang w:val="en-GB" w:eastAsia="en-GB"/>
    </w:rPr>
  </w:style>
  <w:style w:type="paragraph" w:customStyle="1" w:styleId="Option">
    <w:name w:val="Option"/>
    <w:basedOn w:val="Ttulo1"/>
    <w:uiPriority w:val="99"/>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style>
  <w:style w:type="paragraph" w:customStyle="1" w:styleId="S1b-header1">
    <w:name w:val="S1b-header1"/>
    <w:basedOn w:val="Normal"/>
    <w:uiPriority w:val="99"/>
    <w:pPr>
      <w:numPr>
        <w:numId w:val="42"/>
      </w:numPr>
      <w:spacing w:before="120" w:after="240"/>
      <w:jc w:val="center"/>
    </w:pPr>
    <w:rPr>
      <w:b/>
      <w:sz w:val="28"/>
    </w:rPr>
  </w:style>
  <w:style w:type="paragraph" w:customStyle="1" w:styleId="StyleTOC1NotBold">
    <w:name w:val="Style TOC 1 + Not Bold"/>
    <w:basedOn w:val="TDC1"/>
    <w:uiPriority w:val="99"/>
    <w:pPr>
      <w:tabs>
        <w:tab w:val="right" w:leader="dot" w:pos="9000"/>
      </w:tabs>
      <w:spacing w:before="0" w:after="120"/>
    </w:pPr>
    <w:rPr>
      <w:b w:val="0"/>
    </w:rPr>
  </w:style>
  <w:style w:type="paragraph" w:customStyle="1" w:styleId="S9Header">
    <w:name w:val="S9 Header"/>
    <w:basedOn w:val="Normal"/>
    <w:link w:val="S9HeaderCar"/>
    <w:pPr>
      <w:spacing w:before="120" w:after="240"/>
      <w:jc w:val="center"/>
    </w:pPr>
    <w:rPr>
      <w:b/>
      <w:sz w:val="36"/>
    </w:rPr>
  </w:style>
  <w:style w:type="paragraph" w:customStyle="1" w:styleId="S7Header1">
    <w:name w:val="S7 Header 1"/>
    <w:basedOn w:val="S1-Header"/>
    <w:next w:val="Normal"/>
    <w:uiPriority w:val="99"/>
    <w:pPr>
      <w:tabs>
        <w:tab w:val="clear" w:pos="360"/>
        <w:tab w:val="num" w:pos="648"/>
      </w:tabs>
      <w:spacing w:after="240"/>
      <w:ind w:hanging="72"/>
    </w:pPr>
  </w:style>
  <w:style w:type="paragraph" w:customStyle="1" w:styleId="S7Header2">
    <w:name w:val="S7 Header 2"/>
    <w:basedOn w:val="Normal"/>
    <w:next w:val="Normal"/>
    <w:autoRedefine/>
    <w:uiPriority w:val="99"/>
    <w:pPr>
      <w:spacing w:after="120"/>
      <w:ind w:left="432" w:hanging="432"/>
    </w:pPr>
    <w:rPr>
      <w:b/>
    </w:rPr>
  </w:style>
  <w:style w:type="paragraph" w:customStyle="1" w:styleId="StyleS7Header2NotBold">
    <w:name w:val="Style S7 Header 2 + Not Bold"/>
    <w:basedOn w:val="S7Header2"/>
    <w:uiPriority w:val="99"/>
  </w:style>
  <w:style w:type="paragraph" w:customStyle="1" w:styleId="S9-appx">
    <w:name w:val="S9 - appx"/>
    <w:basedOn w:val="Normal"/>
    <w:pPr>
      <w:spacing w:before="120" w:after="240"/>
      <w:jc w:val="center"/>
    </w:pPr>
    <w:rPr>
      <w:b/>
      <w:sz w:val="28"/>
    </w:rPr>
  </w:style>
  <w:style w:type="paragraph" w:customStyle="1" w:styleId="UGHeading1">
    <w:name w:val="UG Heading 1"/>
    <w:basedOn w:val="Normal"/>
    <w:uiPriority w:val="99"/>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pPr>
      <w:numPr>
        <w:ilvl w:val="0"/>
        <w:numId w:val="0"/>
      </w:numPr>
      <w:spacing w:after="240"/>
      <w:ind w:left="720" w:hanging="720"/>
    </w:pPr>
    <w:rPr>
      <w:rFonts w:cs="Times New Roman"/>
    </w:rPr>
  </w:style>
  <w:style w:type="paragraph" w:customStyle="1" w:styleId="S1-subpara">
    <w:name w:val="S1-sub para"/>
    <w:basedOn w:val="Normal"/>
    <w:link w:val="S1-subparaChar"/>
    <w:pPr>
      <w:tabs>
        <w:tab w:val="num" w:pos="576"/>
      </w:tabs>
      <w:spacing w:after="200"/>
      <w:ind w:left="576" w:hanging="576"/>
      <w:jc w:val="both"/>
    </w:pPr>
  </w:style>
  <w:style w:type="character" w:customStyle="1" w:styleId="S1-subparaChar">
    <w:name w:val="S1-sub para Char"/>
    <w:link w:val="S1-subpara"/>
    <w:rPr>
      <w:sz w:val="24"/>
      <w:szCs w:val="24"/>
    </w:rPr>
  </w:style>
  <w:style w:type="paragraph" w:customStyle="1" w:styleId="S1-OptB-subpara">
    <w:name w:val="S1-OptB-sub para"/>
    <w:basedOn w:val="Normal"/>
    <w:uiPriority w:val="99"/>
    <w:pPr>
      <w:numPr>
        <w:ilvl w:val="1"/>
        <w:numId w:val="43"/>
      </w:numPr>
      <w:spacing w:after="200"/>
      <w:jc w:val="both"/>
    </w:pPr>
  </w:style>
  <w:style w:type="paragraph" w:customStyle="1" w:styleId="UserGuide">
    <w:name w:val="User Guide"/>
    <w:basedOn w:val="Normal"/>
    <w:uiPriority w:val="99"/>
    <w:pPr>
      <w:jc w:val="center"/>
    </w:pPr>
    <w:rPr>
      <w:b/>
      <w:sz w:val="72"/>
    </w:rPr>
  </w:style>
  <w:style w:type="paragraph" w:customStyle="1" w:styleId="StyleHeading3SectionHeader3ClauseSubNoNameBold">
    <w:name w:val="Style Heading 3Section Header3ClauseSub_No&amp;Name + Bold"/>
    <w:basedOn w:val="Ttulo3"/>
    <w:uiPriority w:val="99"/>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pPr>
      <w:tabs>
        <w:tab w:val="num" w:pos="720"/>
        <w:tab w:val="num" w:pos="1037"/>
        <w:tab w:val="left" w:pos="1440"/>
      </w:tabs>
      <w:spacing w:before="120"/>
      <w:ind w:left="1440" w:hanging="450"/>
    </w:pPr>
    <w:rPr>
      <w:lang w:eastAsia="fr-FR"/>
    </w:rPr>
  </w:style>
  <w:style w:type="paragraph" w:customStyle="1" w:styleId="a11">
    <w:name w:val="a1 1"/>
    <w:uiPriority w:val="99"/>
    <w:pPr>
      <w:widowControl w:val="0"/>
      <w:tabs>
        <w:tab w:val="left" w:pos="-720"/>
      </w:tabs>
      <w:suppressAutoHyphens/>
    </w:pPr>
    <w:rPr>
      <w:sz w:val="24"/>
      <w:szCs w:val="24"/>
    </w:rPr>
  </w:style>
  <w:style w:type="paragraph" w:customStyle="1" w:styleId="REGULAR3">
    <w:name w:val="REGULAR 3"/>
    <w:uiPriority w:val="99"/>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Pr>
      <w:b/>
      <w:sz w:val="28"/>
      <w:szCs w:val="28"/>
    </w:rPr>
  </w:style>
  <w:style w:type="paragraph" w:customStyle="1" w:styleId="UG-Sec3-Heading2">
    <w:name w:val="UG-Sec3-Heading2"/>
    <w:basedOn w:val="Normal"/>
    <w:uiPriority w:val="99"/>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Pr>
      <w:bCs/>
      <w:color w:val="000000"/>
      <w:sz w:val="24"/>
    </w:rPr>
  </w:style>
  <w:style w:type="character" w:customStyle="1" w:styleId="StyleUG-Sec3-heading18ptBlackChar">
    <w:name w:val="Style UG-Sec3-heading1 + 8 pt Black Char"/>
    <w:link w:val="StyleUG-Sec3-heading18ptBlack"/>
    <w:uiPriority w:val="99"/>
    <w:rPr>
      <w:b/>
      <w:bCs/>
      <w:color w:val="000000"/>
      <w:sz w:val="24"/>
      <w:szCs w:val="28"/>
    </w:rPr>
  </w:style>
  <w:style w:type="paragraph" w:customStyle="1" w:styleId="UG-Sec3b-Heading1">
    <w:name w:val="UG-Sec3b-Heading1"/>
    <w:basedOn w:val="UG-Sec3-heading1"/>
    <w:uiPriority w:val="99"/>
  </w:style>
  <w:style w:type="paragraph" w:customStyle="1" w:styleId="UG-Sec3b-Heading2">
    <w:name w:val="UG-Sec3b-Heading2"/>
    <w:basedOn w:val="UG-Sec3-Heading2"/>
    <w:uiPriority w:val="99"/>
  </w:style>
  <w:style w:type="paragraph" w:customStyle="1" w:styleId="SecVI-Header2">
    <w:name w:val="Sec VI - Header 2"/>
    <w:basedOn w:val="Ttulo3"/>
    <w:link w:val="SecVI-Header2Char"/>
    <w:uiPriority w:val="99"/>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Pr>
      <w:b/>
      <w:sz w:val="28"/>
      <w:szCs w:val="28"/>
    </w:rPr>
  </w:style>
  <w:style w:type="paragraph" w:customStyle="1" w:styleId="SecVI-Header3">
    <w:name w:val="Sec VI - Header 3"/>
    <w:basedOn w:val="SecVI-Header2"/>
    <w:link w:val="SecVI-Header3Char"/>
    <w:uiPriority w:val="99"/>
    <w:rPr>
      <w:sz w:val="24"/>
    </w:rPr>
  </w:style>
  <w:style w:type="character" w:customStyle="1" w:styleId="SecVI-Header3Char">
    <w:name w:val="Sec VI - Header 3 Char"/>
    <w:link w:val="SecVI-Header3"/>
    <w:uiPriority w:val="99"/>
    <w:rPr>
      <w:b/>
      <w:sz w:val="24"/>
      <w:szCs w:val="28"/>
    </w:rPr>
  </w:style>
  <w:style w:type="paragraph" w:customStyle="1" w:styleId="SecVI-Header1">
    <w:name w:val="Sec VI - Header 1"/>
    <w:basedOn w:val="SectionVHeader"/>
    <w:uiPriority w:val="99"/>
    <w:rPr>
      <w:rFonts w:ascii="Times New Roman" w:hAnsi="Times New Roman"/>
      <w:szCs w:val="24"/>
      <w:lang w:val="en-US"/>
    </w:rPr>
  </w:style>
  <w:style w:type="paragraph" w:customStyle="1" w:styleId="UG-Part">
    <w:name w:val="UG - Part"/>
    <w:basedOn w:val="Ttulo1"/>
    <w:uiPriority w:val="99"/>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pPr>
      <w:spacing w:before="240"/>
    </w:pPr>
    <w:rPr>
      <w:sz w:val="44"/>
    </w:rPr>
  </w:style>
  <w:style w:type="paragraph" w:customStyle="1" w:styleId="UG-OptB-Sec3-heading1">
    <w:name w:val="UG-OptB-Sec 3 - heading1"/>
    <w:basedOn w:val="UG-Sec3-heading1"/>
    <w:uiPriority w:val="99"/>
  </w:style>
  <w:style w:type="paragraph" w:customStyle="1" w:styleId="UGOptB-Sec3-Heading2">
    <w:name w:val="UG OptB - Sec 3 - Heading 2"/>
    <w:basedOn w:val="UG-Sec3-Heading2"/>
    <w:uiPriority w:val="99"/>
  </w:style>
  <w:style w:type="paragraph" w:customStyle="1" w:styleId="UG-OptB-Sec3b-heading1">
    <w:name w:val="UG-OptB-Sec 3b - heading 1"/>
    <w:basedOn w:val="UG-OptB-Sec3-heading1"/>
    <w:uiPriority w:val="99"/>
  </w:style>
  <w:style w:type="paragraph" w:customStyle="1" w:styleId="UGOptB-Sec3b-Heading2">
    <w:name w:val="UG OptB - Sec 3b - Heading 2"/>
    <w:basedOn w:val="UGOptB-Sec3-Heading2"/>
    <w:uiPriority w:val="99"/>
  </w:style>
  <w:style w:type="paragraph" w:customStyle="1" w:styleId="UG-SectionIV-Heading1">
    <w:name w:val="UG - Section IV - Heading 1"/>
    <w:basedOn w:val="Subttulo"/>
    <w:uiPriority w:val="99"/>
    <w:pPr>
      <w:spacing w:after="200"/>
    </w:pPr>
    <w:rPr>
      <w:sz w:val="40"/>
      <w:szCs w:val="24"/>
    </w:rPr>
  </w:style>
  <w:style w:type="paragraph" w:customStyle="1" w:styleId="UG-SectionIV-Heading2">
    <w:name w:val="UG - Section IV - Heading 2"/>
    <w:basedOn w:val="Normal"/>
    <w:next w:val="Normal"/>
    <w:uiPriority w:val="99"/>
    <w:pPr>
      <w:spacing w:before="120" w:after="200"/>
    </w:pPr>
    <w:rPr>
      <w:b/>
      <w:sz w:val="32"/>
      <w:szCs w:val="22"/>
    </w:rPr>
  </w:style>
  <w:style w:type="paragraph" w:customStyle="1" w:styleId="UG-SectionVI-Heading2">
    <w:name w:val="UG - Section VI - Heading 2"/>
    <w:basedOn w:val="UG-SectionIV-Heading2"/>
    <w:next w:val="Normal"/>
    <w:uiPriority w:val="99"/>
    <w:pPr>
      <w:jc w:val="center"/>
    </w:pPr>
  </w:style>
  <w:style w:type="paragraph" w:customStyle="1" w:styleId="UG-SectionVI-Heading3">
    <w:name w:val="UG - Section VI - Heading 3"/>
    <w:basedOn w:val="Normal"/>
    <w:next w:val="Normal"/>
    <w:uiPriority w:val="99"/>
    <w:pPr>
      <w:spacing w:before="120" w:after="200"/>
      <w:jc w:val="center"/>
    </w:pPr>
    <w:rPr>
      <w:b/>
      <w:sz w:val="28"/>
    </w:rPr>
  </w:style>
  <w:style w:type="paragraph" w:customStyle="1" w:styleId="UG-SectionIX-Heading1">
    <w:name w:val="UG - Section IX - Heading 1"/>
    <w:basedOn w:val="Ttulo2"/>
    <w:uiPriority w:val="99"/>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Pr>
      <w:rFonts w:ascii="Arial" w:hAnsi="Arial" w:cs="Arial"/>
      <w:sz w:val="24"/>
      <w:szCs w:val="24"/>
    </w:rPr>
  </w:style>
  <w:style w:type="paragraph" w:styleId="Cierre">
    <w:name w:val="Closing"/>
    <w:basedOn w:val="Normal"/>
    <w:link w:val="CierreCar"/>
    <w:uiPriority w:val="99"/>
    <w:pPr>
      <w:ind w:left="4320"/>
      <w:jc w:val="both"/>
    </w:pPr>
  </w:style>
  <w:style w:type="character" w:customStyle="1" w:styleId="CierreCar">
    <w:name w:val="Cierre Car"/>
    <w:basedOn w:val="Fuentedeprrafopredeter"/>
    <w:link w:val="Cierre"/>
    <w:uiPriority w:val="99"/>
    <w:rPr>
      <w:sz w:val="24"/>
      <w:szCs w:val="24"/>
    </w:rPr>
  </w:style>
  <w:style w:type="paragraph" w:styleId="Fecha">
    <w:name w:val="Date"/>
    <w:basedOn w:val="Normal"/>
    <w:next w:val="Normal"/>
    <w:link w:val="FechaCar"/>
    <w:pPr>
      <w:jc w:val="both"/>
    </w:pPr>
  </w:style>
  <w:style w:type="character" w:customStyle="1" w:styleId="FechaCar">
    <w:name w:val="Fecha Car"/>
    <w:basedOn w:val="Fuentedeprrafopredeter"/>
    <w:link w:val="Fecha"/>
    <w:rPr>
      <w:sz w:val="24"/>
      <w:szCs w:val="24"/>
    </w:rPr>
  </w:style>
  <w:style w:type="paragraph" w:styleId="Firmadecorreoelectrnico">
    <w:name w:val="E-mail Signature"/>
    <w:basedOn w:val="Normal"/>
    <w:link w:val="FirmadecorreoelectrnicoCar"/>
    <w:uiPriority w:val="99"/>
    <w:pPr>
      <w:jc w:val="both"/>
    </w:pPr>
  </w:style>
  <w:style w:type="character" w:customStyle="1" w:styleId="FirmadecorreoelectrnicoCar">
    <w:name w:val="Firma de correo electrónico Car"/>
    <w:basedOn w:val="Fuentedeprrafopredeter"/>
    <w:link w:val="Firmadecorreoelectrnico"/>
    <w:uiPriority w:val="99"/>
    <w:rPr>
      <w:sz w:val="24"/>
      <w:szCs w:val="24"/>
    </w:rPr>
  </w:style>
  <w:style w:type="paragraph" w:styleId="Direccinsobre">
    <w:name w:val="envelope address"/>
    <w:basedOn w:val="Normal"/>
    <w:uiPriority w:val="99"/>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pPr>
      <w:jc w:val="both"/>
    </w:pPr>
    <w:rPr>
      <w:rFonts w:ascii="Cambria" w:hAnsi="Cambria"/>
      <w:sz w:val="20"/>
    </w:rPr>
  </w:style>
  <w:style w:type="paragraph" w:styleId="DireccinHTML">
    <w:name w:val="HTML Address"/>
    <w:basedOn w:val="Normal"/>
    <w:link w:val="DireccinHTMLCar"/>
    <w:uiPriority w:val="99"/>
    <w:pPr>
      <w:jc w:val="both"/>
    </w:pPr>
    <w:rPr>
      <w:i/>
      <w:iCs/>
    </w:rPr>
  </w:style>
  <w:style w:type="character" w:customStyle="1" w:styleId="DireccinHTMLCar">
    <w:name w:val="Dirección HTML Car"/>
    <w:basedOn w:val="Fuentedeprrafopredeter"/>
    <w:link w:val="DireccinHTML"/>
    <w:uiPriority w:val="99"/>
    <w:rPr>
      <w:i/>
      <w:iCs/>
      <w:sz w:val="24"/>
      <w:szCs w:val="24"/>
    </w:rPr>
  </w:style>
  <w:style w:type="paragraph" w:styleId="ndice2">
    <w:name w:val="index 2"/>
    <w:basedOn w:val="Normal"/>
    <w:next w:val="Normal"/>
    <w:autoRedefine/>
    <w:uiPriority w:val="99"/>
    <w:pPr>
      <w:ind w:left="480" w:hanging="240"/>
      <w:jc w:val="both"/>
    </w:pPr>
  </w:style>
  <w:style w:type="paragraph" w:styleId="ndice3">
    <w:name w:val="index 3"/>
    <w:basedOn w:val="Normal"/>
    <w:next w:val="Normal"/>
    <w:autoRedefine/>
    <w:uiPriority w:val="99"/>
    <w:pPr>
      <w:ind w:left="720" w:hanging="240"/>
      <w:jc w:val="both"/>
    </w:pPr>
  </w:style>
  <w:style w:type="paragraph" w:styleId="ndice4">
    <w:name w:val="index 4"/>
    <w:basedOn w:val="Normal"/>
    <w:next w:val="Normal"/>
    <w:autoRedefine/>
    <w:uiPriority w:val="99"/>
    <w:pPr>
      <w:ind w:left="960" w:hanging="240"/>
      <w:jc w:val="both"/>
    </w:pPr>
  </w:style>
  <w:style w:type="paragraph" w:styleId="ndice5">
    <w:name w:val="index 5"/>
    <w:basedOn w:val="Normal"/>
    <w:next w:val="Normal"/>
    <w:autoRedefine/>
    <w:uiPriority w:val="99"/>
    <w:pPr>
      <w:ind w:left="1200" w:hanging="240"/>
      <w:jc w:val="both"/>
    </w:pPr>
  </w:style>
  <w:style w:type="paragraph" w:styleId="ndice6">
    <w:name w:val="index 6"/>
    <w:basedOn w:val="Normal"/>
    <w:next w:val="Normal"/>
    <w:autoRedefine/>
    <w:uiPriority w:val="99"/>
    <w:pPr>
      <w:ind w:left="1440" w:hanging="240"/>
      <w:jc w:val="both"/>
    </w:pPr>
  </w:style>
  <w:style w:type="paragraph" w:styleId="ndice7">
    <w:name w:val="index 7"/>
    <w:basedOn w:val="Normal"/>
    <w:next w:val="Normal"/>
    <w:autoRedefine/>
    <w:uiPriority w:val="99"/>
    <w:pPr>
      <w:ind w:left="1680" w:hanging="240"/>
      <w:jc w:val="both"/>
    </w:pPr>
  </w:style>
  <w:style w:type="paragraph" w:styleId="ndice8">
    <w:name w:val="index 8"/>
    <w:basedOn w:val="Normal"/>
    <w:next w:val="Normal"/>
    <w:autoRedefine/>
    <w:uiPriority w:val="99"/>
    <w:pPr>
      <w:ind w:left="1920" w:hanging="240"/>
      <w:jc w:val="both"/>
    </w:pPr>
  </w:style>
  <w:style w:type="paragraph" w:styleId="ndice9">
    <w:name w:val="index 9"/>
    <w:basedOn w:val="Normal"/>
    <w:next w:val="Normal"/>
    <w:autoRedefine/>
    <w:pPr>
      <w:ind w:left="2160" w:hanging="240"/>
      <w:jc w:val="both"/>
    </w:pPr>
  </w:style>
  <w:style w:type="paragraph" w:styleId="Citadestacada">
    <w:name w:val="Intense Quote"/>
    <w:basedOn w:val="Normal"/>
    <w:next w:val="Normal"/>
    <w:link w:val="CitadestacadaCar"/>
    <w:uiPriority w:val="99"/>
    <w:qFormat/>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Pr>
      <w:b/>
      <w:bCs/>
      <w:i/>
      <w:iCs/>
      <w:color w:val="4F81BD"/>
      <w:sz w:val="24"/>
      <w:szCs w:val="24"/>
    </w:rPr>
  </w:style>
  <w:style w:type="paragraph" w:styleId="Lista4">
    <w:name w:val="List 4"/>
    <w:basedOn w:val="Normal"/>
    <w:uiPriority w:val="99"/>
    <w:pPr>
      <w:ind w:left="1440" w:hanging="360"/>
      <w:contextualSpacing/>
      <w:jc w:val="both"/>
    </w:pPr>
  </w:style>
  <w:style w:type="paragraph" w:styleId="Lista5">
    <w:name w:val="List 5"/>
    <w:basedOn w:val="Normal"/>
    <w:uiPriority w:val="99"/>
    <w:pPr>
      <w:ind w:left="1800" w:hanging="360"/>
      <w:contextualSpacing/>
      <w:jc w:val="both"/>
    </w:pPr>
  </w:style>
  <w:style w:type="paragraph" w:styleId="Continuarlista">
    <w:name w:val="List Continue"/>
    <w:basedOn w:val="Normal"/>
    <w:uiPriority w:val="99"/>
    <w:pPr>
      <w:spacing w:after="120"/>
      <w:ind w:left="360"/>
      <w:contextualSpacing/>
      <w:jc w:val="both"/>
    </w:pPr>
  </w:style>
  <w:style w:type="paragraph" w:styleId="Continuarlista4">
    <w:name w:val="List Continue 4"/>
    <w:basedOn w:val="Normal"/>
    <w:uiPriority w:val="99"/>
    <w:pPr>
      <w:spacing w:after="120"/>
      <w:ind w:left="1440"/>
      <w:contextualSpacing/>
      <w:jc w:val="both"/>
    </w:pPr>
  </w:style>
  <w:style w:type="paragraph" w:styleId="Continuarlista5">
    <w:name w:val="List Continue 5"/>
    <w:basedOn w:val="Normal"/>
    <w:uiPriority w:val="99"/>
    <w:pPr>
      <w:spacing w:after="120"/>
      <w:ind w:left="1800"/>
      <w:contextualSpacing/>
      <w:jc w:val="both"/>
    </w:pPr>
  </w:style>
  <w:style w:type="paragraph" w:styleId="Textomacro">
    <w:name w:val="macro"/>
    <w:link w:val="TextomacroCar"/>
    <w:uiPriority w:val="9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Pr>
      <w:rFonts w:ascii="Consolas" w:hAnsi="Consolas"/>
      <w:sz w:val="24"/>
      <w:szCs w:val="24"/>
    </w:rPr>
  </w:style>
  <w:style w:type="character" w:customStyle="1" w:styleId="EncabezadodemensajeCar">
    <w:name w:val="Encabezado de mensaje Car"/>
    <w:basedOn w:val="Fuentedeprrafopredeter"/>
    <w:link w:val="Encabezadodemensaje"/>
    <w:uiPriority w:val="99"/>
    <w:rPr>
      <w:rFonts w:ascii="Arial" w:hAnsi="Arial" w:cs="Arial"/>
      <w:sz w:val="24"/>
      <w:szCs w:val="24"/>
      <w:shd w:val="pct20" w:color="auto" w:fill="auto"/>
    </w:rPr>
  </w:style>
  <w:style w:type="paragraph" w:styleId="Sinespaciado">
    <w:name w:val="No Spacing"/>
    <w:link w:val="SinespaciadoCar"/>
    <w:uiPriority w:val="1"/>
    <w:qFormat/>
    <w:pPr>
      <w:jc w:val="both"/>
    </w:pPr>
    <w:rPr>
      <w:sz w:val="24"/>
      <w:szCs w:val="24"/>
    </w:rPr>
  </w:style>
  <w:style w:type="character" w:customStyle="1" w:styleId="EncabezadodenotaCar">
    <w:name w:val="Encabezado de nota Car"/>
    <w:basedOn w:val="Fuentedeprrafopredeter"/>
    <w:link w:val="Encabezadodenota"/>
    <w:uiPriority w:val="99"/>
    <w:rPr>
      <w:sz w:val="24"/>
    </w:rPr>
  </w:style>
  <w:style w:type="paragraph" w:styleId="Textosinformato">
    <w:name w:val="Plain Text"/>
    <w:basedOn w:val="Normal"/>
    <w:link w:val="TextosinformatoCar"/>
    <w:pPr>
      <w:jc w:val="both"/>
    </w:pPr>
    <w:rPr>
      <w:rFonts w:ascii="Consolas" w:hAnsi="Consolas"/>
      <w:sz w:val="21"/>
      <w:szCs w:val="21"/>
    </w:rPr>
  </w:style>
  <w:style w:type="character" w:customStyle="1" w:styleId="TextosinformatoCar">
    <w:name w:val="Texto sin formato Car"/>
    <w:basedOn w:val="Fuentedeprrafopredeter"/>
    <w:link w:val="Textosinformato"/>
    <w:rPr>
      <w:rFonts w:ascii="Consolas" w:hAnsi="Consolas"/>
      <w:sz w:val="21"/>
      <w:szCs w:val="21"/>
    </w:rPr>
  </w:style>
  <w:style w:type="paragraph" w:styleId="Cita">
    <w:name w:val="Quote"/>
    <w:basedOn w:val="Normal"/>
    <w:next w:val="Normal"/>
    <w:link w:val="CitaCar"/>
    <w:uiPriority w:val="99"/>
    <w:qFormat/>
    <w:pPr>
      <w:jc w:val="both"/>
    </w:pPr>
    <w:rPr>
      <w:i/>
      <w:iCs/>
      <w:color w:val="000000"/>
    </w:rPr>
  </w:style>
  <w:style w:type="character" w:customStyle="1" w:styleId="CitaCar">
    <w:name w:val="Cita Car"/>
    <w:basedOn w:val="Fuentedeprrafopredeter"/>
    <w:link w:val="Cita"/>
    <w:uiPriority w:val="99"/>
    <w:rPr>
      <w:i/>
      <w:iCs/>
      <w:color w:val="000000"/>
      <w:sz w:val="24"/>
      <w:szCs w:val="24"/>
    </w:rPr>
  </w:style>
  <w:style w:type="paragraph" w:styleId="Saludo">
    <w:name w:val="Salutation"/>
    <w:basedOn w:val="Normal"/>
    <w:next w:val="Normal"/>
    <w:link w:val="SaludoCar"/>
    <w:uiPriority w:val="99"/>
    <w:pPr>
      <w:jc w:val="both"/>
    </w:pPr>
  </w:style>
  <w:style w:type="character" w:customStyle="1" w:styleId="SaludoCar">
    <w:name w:val="Saludo Car"/>
    <w:basedOn w:val="Fuentedeprrafopredeter"/>
    <w:link w:val="Saludo"/>
    <w:uiPriority w:val="99"/>
    <w:rPr>
      <w:sz w:val="24"/>
      <w:szCs w:val="24"/>
    </w:rPr>
  </w:style>
  <w:style w:type="paragraph" w:styleId="Firma">
    <w:name w:val="Signature"/>
    <w:basedOn w:val="Normal"/>
    <w:link w:val="FirmaCar"/>
    <w:uiPriority w:val="99"/>
    <w:pPr>
      <w:ind w:left="4320"/>
      <w:jc w:val="both"/>
    </w:pPr>
  </w:style>
  <w:style w:type="character" w:customStyle="1" w:styleId="FirmaCar">
    <w:name w:val="Firma Car"/>
    <w:basedOn w:val="Fuentedeprrafopredeter"/>
    <w:link w:val="Firma"/>
    <w:uiPriority w:val="99"/>
    <w:rPr>
      <w:sz w:val="24"/>
      <w:szCs w:val="24"/>
    </w:rPr>
  </w:style>
  <w:style w:type="paragraph" w:styleId="Textoconsangra">
    <w:name w:val="table of authorities"/>
    <w:basedOn w:val="Normal"/>
    <w:next w:val="Normal"/>
    <w:uiPriority w:val="99"/>
    <w:pPr>
      <w:ind w:left="240" w:hanging="240"/>
      <w:jc w:val="both"/>
    </w:pPr>
  </w:style>
  <w:style w:type="paragraph" w:customStyle="1" w:styleId="TAN-Seccion">
    <w:name w:val="TAN-Seccion"/>
    <w:basedOn w:val="Normal"/>
    <w:qFormat/>
    <w:pPr>
      <w:spacing w:before="40" w:after="40"/>
      <w:jc w:val="center"/>
      <w:outlineLvl w:val="0"/>
    </w:pPr>
    <w:rPr>
      <w:b/>
      <w:sz w:val="44"/>
      <w:szCs w:val="20"/>
      <w:lang w:val="es-ES"/>
    </w:rPr>
  </w:style>
  <w:style w:type="paragraph" w:customStyle="1" w:styleId="TAN-SIII-N1">
    <w:name w:val="TAN-SIII-N1"/>
    <w:basedOn w:val="Normal"/>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Pr>
      <w:rFonts w:ascii="Calibri" w:hAnsi="Calibri"/>
      <w:b/>
      <w:sz w:val="22"/>
      <w:lang w:val="es-AR"/>
    </w:rPr>
  </w:style>
  <w:style w:type="paragraph" w:styleId="Bibliografa">
    <w:name w:val="Bibliography"/>
    <w:basedOn w:val="Normal"/>
    <w:next w:val="Normal"/>
    <w:uiPriority w:val="99"/>
    <w:semiHidden/>
    <w:unhideWhenUsed/>
    <w:pPr>
      <w:jc w:val="both"/>
    </w:pPr>
  </w:style>
  <w:style w:type="paragraph" w:styleId="TtuloTDC">
    <w:name w:val="TOC Heading"/>
    <w:basedOn w:val="Ttulo1"/>
    <w:next w:val="Normal"/>
    <w:uiPriority w:val="39"/>
    <w:unhideWhenUsed/>
    <w:qFormat/>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pPr>
      <w:spacing w:before="40" w:after="40"/>
      <w:jc w:val="center"/>
      <w:outlineLvl w:val="1"/>
    </w:pPr>
    <w:rPr>
      <w:b/>
      <w:sz w:val="36"/>
      <w:szCs w:val="20"/>
      <w:lang w:val="es-AR"/>
    </w:rPr>
  </w:style>
  <w:style w:type="paragraph" w:customStyle="1" w:styleId="PersonalName">
    <w:name w:val="Personal Name"/>
    <w:basedOn w:val="Ttulo"/>
    <w:qFormat/>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Pr>
      <w:sz w:val="24"/>
      <w:szCs w:val="24"/>
    </w:rPr>
  </w:style>
  <w:style w:type="character" w:styleId="nfasissutil">
    <w:name w:val="Subtle Emphasis"/>
    <w:basedOn w:val="Fuentedeprrafopredeter"/>
    <w:uiPriority w:val="19"/>
    <w:qFormat/>
    <w:rPr>
      <w:i/>
      <w:iCs/>
      <w:color w:val="000000"/>
    </w:rPr>
  </w:style>
  <w:style w:type="character" w:styleId="nfasisintenso">
    <w:name w:val="Intense Emphasis"/>
    <w:basedOn w:val="Fuentedeprrafopredeter"/>
    <w:uiPriority w:val="21"/>
    <w:qFormat/>
    <w:rPr>
      <w:b/>
      <w:bCs/>
      <w:i/>
      <w:iCs/>
      <w:color w:val="5B9BD5" w:themeColor="accent1"/>
    </w:rPr>
  </w:style>
  <w:style w:type="character" w:styleId="Referenciasutil">
    <w:name w:val="Subtle Reference"/>
    <w:basedOn w:val="Fuentedeprrafopredeter"/>
    <w:uiPriority w:val="31"/>
    <w:qFormat/>
    <w:rPr>
      <w:smallCaps/>
      <w:color w:val="000000"/>
      <w:u w:val="single"/>
    </w:rPr>
  </w:style>
  <w:style w:type="character" w:styleId="Referenciaintensa">
    <w:name w:val="Intense Reference"/>
    <w:basedOn w:val="Fuentedeprrafopredeter"/>
    <w:uiPriority w:val="32"/>
    <w:qFormat/>
    <w:rPr>
      <w:b w:val="0"/>
      <w:bCs/>
      <w:smallCaps/>
      <w:color w:val="5B9BD5" w:themeColor="accent1"/>
      <w:spacing w:val="5"/>
      <w:u w:val="single"/>
    </w:rPr>
  </w:style>
  <w:style w:type="character" w:styleId="Ttulodellibro">
    <w:name w:val="Book Title"/>
    <w:basedOn w:val="Fuentedeprrafopredeter"/>
    <w:uiPriority w:val="33"/>
    <w:qFormat/>
    <w:rPr>
      <w:b/>
      <w:bCs/>
      <w:caps/>
      <w:smallCaps w:val="0"/>
      <w:color w:val="44546A" w:themeColor="text2"/>
      <w:spacing w:val="10"/>
    </w:rPr>
  </w:style>
  <w:style w:type="paragraph" w:customStyle="1" w:styleId="Aheader1DCIAO">
    <w:name w:val="Aheader1DCIAO"/>
    <w:basedOn w:val="StyleStyleS1-Header1TimesNewRoman14pt1"/>
    <w:link w:val="Aheader1DCIAOCar"/>
    <w:autoRedefine/>
    <w:qFormat/>
    <w:pPr>
      <w:tabs>
        <w:tab w:val="clear" w:pos="3742"/>
        <w:tab w:val="num" w:pos="3459"/>
      </w:tabs>
      <w:ind w:left="3119"/>
      <w:jc w:val="left"/>
    </w:pPr>
    <w:rPr>
      <w:lang w:val="es-ES"/>
    </w:rPr>
  </w:style>
  <w:style w:type="paragraph" w:customStyle="1" w:styleId="Aheader2DCIAO">
    <w:name w:val="Aheader2DCIAO"/>
    <w:basedOn w:val="S1-Header2"/>
    <w:link w:val="Aheader2DCIAOCar"/>
    <w:autoRedefine/>
    <w:qFormat/>
    <w:rPr>
      <w:lang w:val="es-ES"/>
    </w:rPr>
  </w:style>
  <w:style w:type="paragraph" w:customStyle="1" w:styleId="SPDForm2">
    <w:name w:val="SPD  Form 2"/>
    <w:basedOn w:val="Normal"/>
    <w:qFormat/>
    <w:pPr>
      <w:spacing w:before="120" w:after="240"/>
      <w:jc w:val="center"/>
    </w:pPr>
    <w:rPr>
      <w:b/>
      <w:sz w:val="36"/>
      <w:szCs w:val="20"/>
    </w:rPr>
  </w:style>
  <w:style w:type="paragraph" w:customStyle="1" w:styleId="SPDTechnicalProposalForms">
    <w:name w:val="SPD  Technical Proposal Forms"/>
    <w:basedOn w:val="Normal"/>
    <w:link w:val="SPDTechnicalProposalFormsChar"/>
    <w:qFormat/>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Pr>
      <w:b/>
      <w:sz w:val="36"/>
    </w:rPr>
  </w:style>
  <w:style w:type="paragraph" w:customStyle="1" w:styleId="SPD3EmployersRequirement">
    <w:name w:val="SPD 3 Employers Requirement"/>
    <w:basedOn w:val="Normal"/>
    <w:link w:val="SPD3EmployersRequirementChar"/>
    <w:qFormat/>
    <w:pPr>
      <w:jc w:val="center"/>
    </w:pPr>
    <w:rPr>
      <w:b/>
      <w:sz w:val="36"/>
      <w:szCs w:val="20"/>
    </w:rPr>
  </w:style>
  <w:style w:type="character" w:customStyle="1" w:styleId="SPD3EmployersRequirementChar">
    <w:name w:val="SPD 3 Employers Requirement Char"/>
    <w:basedOn w:val="Fuentedeprrafopredeter"/>
    <w:link w:val="SPD3EmployersRequirement"/>
    <w:rPr>
      <w:b/>
      <w:sz w:val="36"/>
    </w:rPr>
  </w:style>
  <w:style w:type="numbering" w:customStyle="1" w:styleId="SPD1">
    <w:name w:val="SPD 1"/>
    <w:uiPriority w:val="99"/>
    <w:pPr>
      <w:numPr>
        <w:numId w:val="46"/>
      </w:numPr>
    </w:pPr>
  </w:style>
  <w:style w:type="numbering" w:customStyle="1" w:styleId="SPDParagraphheader1">
    <w:name w:val="SPD Paragraph header 1"/>
    <w:uiPriority w:val="99"/>
    <w:pPr>
      <w:numPr>
        <w:numId w:val="47"/>
      </w:numPr>
    </w:pPr>
  </w:style>
  <w:style w:type="paragraph" w:customStyle="1" w:styleId="Head01">
    <w:name w:val="Head 0.1"/>
    <w:basedOn w:val="Head0"/>
    <w:qFormat/>
    <w:rPr>
      <w:sz w:val="56"/>
    </w:rPr>
  </w:style>
  <w:style w:type="paragraph" w:customStyle="1" w:styleId="Head0">
    <w:name w:val="Head 0"/>
    <w:basedOn w:val="Normal"/>
    <w:qFormat/>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pPr>
      <w:numPr>
        <w:ilvl w:val="12"/>
      </w:numPr>
      <w:ind w:left="360" w:hanging="360"/>
    </w:pPr>
    <w:rPr>
      <w:b/>
      <w:szCs w:val="20"/>
    </w:rPr>
  </w:style>
  <w:style w:type="paragraph" w:customStyle="1" w:styleId="HeadingQT2">
    <w:name w:val="Heading QT2"/>
    <w:basedOn w:val="Normal"/>
    <w:link w:val="HeadingQT2Char"/>
    <w:autoRedefine/>
    <w:qFormat/>
    <w:pPr>
      <w:spacing w:after="134"/>
      <w:ind w:left="720" w:right="-14" w:hanging="360"/>
    </w:pPr>
    <w:rPr>
      <w:b/>
      <w:sz w:val="28"/>
      <w:szCs w:val="28"/>
    </w:rPr>
  </w:style>
  <w:style w:type="character" w:customStyle="1" w:styleId="HeadingQT2Char">
    <w:name w:val="Heading QT2 Char"/>
    <w:basedOn w:val="Fuentedeprrafopredeter"/>
    <w:link w:val="HeadingQT2"/>
    <w:rPr>
      <w:b/>
      <w:sz w:val="28"/>
      <w:szCs w:val="28"/>
    </w:rPr>
  </w:style>
  <w:style w:type="paragraph" w:customStyle="1" w:styleId="PlantEvaCriteriaMain">
    <w:name w:val="Plant Eva Criteria Main"/>
    <w:basedOn w:val="Header1-Clauses"/>
    <w:qFormat/>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Pr>
      <w:b/>
      <w:sz w:val="40"/>
      <w:szCs w:val="40"/>
    </w:rPr>
  </w:style>
  <w:style w:type="character" w:styleId="Refdenotaalfinal">
    <w:name w:val="endnote reference"/>
    <w:basedOn w:val="Fuentedeprrafopredeter"/>
    <w:rPr>
      <w:vertAlign w:val="superscript"/>
    </w:rPr>
  </w:style>
  <w:style w:type="character" w:customStyle="1" w:styleId="explanatorynotesChar">
    <w:name w:val="explanatory_notes Char"/>
    <w:basedOn w:val="Fuentedeprrafopredeter"/>
    <w:link w:val="explanatorynotes"/>
    <w:rPr>
      <w:rFonts w:ascii="Arial" w:hAnsi="Arial"/>
    </w:rPr>
  </w:style>
  <w:style w:type="character" w:customStyle="1" w:styleId="preparersnote">
    <w:name w:val="preparer's note"/>
    <w:basedOn w:val="Fuentedeprrafopredeter"/>
    <w:rPr>
      <w:b/>
      <w:i/>
      <w:iCs/>
    </w:rPr>
  </w:style>
  <w:style w:type="character" w:customStyle="1" w:styleId="Head02Char">
    <w:name w:val="Head 0.2 Char"/>
    <w:basedOn w:val="Ttulo1Car"/>
    <w:link w:val="Head02"/>
    <w:rPr>
      <w:rFonts w:ascii="Times New Roman Bold" w:hAnsi="Times New Roman Bold" w:cs="Arial"/>
      <w:b/>
      <w:smallCaps/>
      <w:sz w:val="36"/>
      <w:szCs w:val="24"/>
      <w:lang w:val="es-ES_tradnl"/>
    </w:rPr>
  </w:style>
  <w:style w:type="paragraph" w:customStyle="1" w:styleId="Head21a">
    <w:name w:val="Head 2.1a"/>
    <w:basedOn w:val="Normal"/>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pPr>
      <w:tabs>
        <w:tab w:val="left" w:pos="360"/>
      </w:tabs>
      <w:suppressAutoHyphens/>
    </w:pPr>
    <w:rPr>
      <w:rFonts w:ascii="CG Times" w:hAnsi="CG Times"/>
      <w:smallCaps/>
      <w:sz w:val="22"/>
    </w:rPr>
  </w:style>
  <w:style w:type="paragraph" w:customStyle="1" w:styleId="Head11a">
    <w:name w:val="Head 1.1a"/>
    <w:link w:val="Head11aChar"/>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pPr>
      <w:numPr>
        <w:ilvl w:val="12"/>
      </w:numPr>
      <w:spacing w:after="120"/>
      <w:ind w:left="360" w:hanging="360"/>
    </w:pPr>
    <w:rPr>
      <w:b/>
      <w:sz w:val="24"/>
    </w:rPr>
  </w:style>
  <w:style w:type="paragraph" w:customStyle="1" w:styleId="Head32">
    <w:name w:val="Head 3.2"/>
    <w:basedOn w:val="Normal"/>
    <w:link w:val="Head32Char"/>
    <w:pPr>
      <w:numPr>
        <w:ilvl w:val="12"/>
      </w:numPr>
      <w:spacing w:after="120"/>
      <w:ind w:left="360" w:hanging="360"/>
      <w:jc w:val="center"/>
    </w:pPr>
    <w:rPr>
      <w:b/>
      <w:sz w:val="28"/>
      <w:szCs w:val="20"/>
    </w:rPr>
  </w:style>
  <w:style w:type="character" w:customStyle="1" w:styleId="Head32Char">
    <w:name w:val="Head 3.2 Char"/>
    <w:basedOn w:val="Fuentedeprrafopredeter"/>
    <w:link w:val="Head32"/>
    <w:rPr>
      <w:b/>
      <w:sz w:val="28"/>
    </w:rPr>
  </w:style>
  <w:style w:type="paragraph" w:customStyle="1" w:styleId="Head5a1">
    <w:name w:val="Head 5a.1"/>
    <w:basedOn w:val="Normal"/>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Pr>
      <w:i/>
    </w:rPr>
  </w:style>
  <w:style w:type="paragraph" w:customStyle="1" w:styleId="Head5b1">
    <w:name w:val="Head 5b.1"/>
    <w:basedOn w:val="Head11a"/>
    <w:next w:val="Normal"/>
    <w:pPr>
      <w:tabs>
        <w:tab w:val="left" w:pos="9900"/>
      </w:tabs>
    </w:pPr>
  </w:style>
  <w:style w:type="paragraph" w:customStyle="1" w:styleId="Head5c1">
    <w:name w:val="Head 5c.1"/>
    <w:basedOn w:val="Head11a"/>
  </w:style>
  <w:style w:type="paragraph" w:customStyle="1" w:styleId="Head5d1">
    <w:name w:val="Head 5d.1"/>
    <w:basedOn w:val="Head11a"/>
    <w:next w:val="Normal"/>
  </w:style>
  <w:style w:type="paragraph" w:customStyle="1" w:styleId="Head5d2">
    <w:name w:val="Head 5d.2"/>
    <w:basedOn w:val="Head12a"/>
    <w:next w:val="Normal"/>
    <w:pPr>
      <w:ind w:left="720" w:hanging="720"/>
      <w:jc w:val="both"/>
    </w:pPr>
  </w:style>
  <w:style w:type="paragraph" w:customStyle="1" w:styleId="Head62">
    <w:name w:val="Head 6.2"/>
    <w:basedOn w:val="Head12a"/>
    <w:next w:val="Normal"/>
    <w:pPr>
      <w:suppressAutoHyphens/>
    </w:pPr>
  </w:style>
  <w:style w:type="numbering" w:customStyle="1" w:styleId="SPDstylelist1">
    <w:name w:val="SPD style list 1"/>
    <w:uiPriority w:val="99"/>
    <w:pPr>
      <w:numPr>
        <w:numId w:val="50"/>
      </w:numPr>
    </w:pPr>
  </w:style>
  <w:style w:type="numbering" w:customStyle="1" w:styleId="AAASPD2">
    <w:name w:val="AAA SPD 2"/>
    <w:uiPriority w:val="99"/>
    <w:pPr>
      <w:numPr>
        <w:numId w:val="51"/>
      </w:numPr>
    </w:pPr>
  </w:style>
  <w:style w:type="numbering" w:customStyle="1" w:styleId="AAASPD1">
    <w:name w:val="AAA SPD 1"/>
    <w:uiPriority w:val="99"/>
    <w:pPr>
      <w:numPr>
        <w:numId w:val="52"/>
      </w:numPr>
    </w:pPr>
  </w:style>
  <w:style w:type="numbering" w:customStyle="1" w:styleId="SPDParaheader1">
    <w:name w:val="SPD Para header 1"/>
    <w:uiPriority w:val="99"/>
    <w:pPr>
      <w:numPr>
        <w:numId w:val="53"/>
      </w:numPr>
    </w:pPr>
  </w:style>
  <w:style w:type="paragraph" w:customStyle="1" w:styleId="HeadingSPD01">
    <w:name w:val="Heading SPD01"/>
    <w:basedOn w:val="Head11a"/>
    <w:link w:val="HeadingSPD01Char"/>
    <w:qFormat/>
    <w:pPr>
      <w:pBdr>
        <w:bottom w:val="none" w:sz="0" w:space="0" w:color="auto"/>
      </w:pBdr>
      <w:outlineLvl w:val="1"/>
    </w:pPr>
  </w:style>
  <w:style w:type="paragraph" w:customStyle="1" w:styleId="HeadingSPD010">
    <w:name w:val="Heading SPD 01"/>
    <w:basedOn w:val="HeadingSPD01"/>
    <w:link w:val="HeadingSPD01Char0"/>
    <w:qFormat/>
  </w:style>
  <w:style w:type="paragraph" w:customStyle="1" w:styleId="HeadingSPD02">
    <w:name w:val="Heading SPD 02"/>
    <w:basedOn w:val="Encabezado"/>
    <w:qFormat/>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style>
  <w:style w:type="character" w:customStyle="1" w:styleId="Head11aChar">
    <w:name w:val="Head 1.1a Char"/>
    <w:basedOn w:val="Fuentedeprrafopredeter"/>
    <w:link w:val="Head11a"/>
    <w:rPr>
      <w:rFonts w:ascii="Times New Roman Bold" w:hAnsi="Times New Roman Bold"/>
      <w:b/>
      <w:smallCaps/>
      <w:sz w:val="32"/>
    </w:rPr>
  </w:style>
  <w:style w:type="character" w:customStyle="1" w:styleId="HeadingSPD01Char">
    <w:name w:val="Heading SPD01 Char"/>
    <w:basedOn w:val="Head11aChar"/>
    <w:link w:val="HeadingSPD01"/>
    <w:rPr>
      <w:rFonts w:ascii="Times New Roman Bold" w:hAnsi="Times New Roman Bold"/>
      <w:b/>
      <w:smallCaps/>
      <w:sz w:val="32"/>
    </w:rPr>
  </w:style>
  <w:style w:type="character" w:customStyle="1" w:styleId="HeadingSPD01Char0">
    <w:name w:val="Heading SPD 01 Char"/>
    <w:basedOn w:val="HeadingSPD01Char"/>
    <w:link w:val="HeadingSPD010"/>
    <w:rPr>
      <w:rFonts w:ascii="Times New Roman Bold" w:hAnsi="Times New Roman Bold"/>
      <w:b/>
      <w:smallCaps/>
      <w:sz w:val="32"/>
    </w:rPr>
  </w:style>
  <w:style w:type="character" w:customStyle="1" w:styleId="HeadingITP1Char">
    <w:name w:val="Heading ITP 1 Char"/>
    <w:basedOn w:val="HeadingSPD01Char0"/>
    <w:link w:val="HeadingITP1"/>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pPr>
      <w:spacing w:before="120" w:after="240"/>
      <w:jc w:val="center"/>
    </w:pPr>
    <w:rPr>
      <w:b/>
      <w:sz w:val="36"/>
      <w:szCs w:val="20"/>
    </w:rPr>
  </w:style>
  <w:style w:type="paragraph" w:customStyle="1" w:styleId="SPD4EmployereRequirmentAnnex">
    <w:name w:val="SPD 4 Employere Requirment Annex"/>
    <w:basedOn w:val="Normal"/>
    <w:qFormat/>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style>
  <w:style w:type="character" w:customStyle="1" w:styleId="SPD1EmployersRequirementChar">
    <w:name w:val="SPD 1 Employers Requirement Char"/>
    <w:basedOn w:val="SPD3EmployersRequirementChar"/>
    <w:link w:val="SPD1EmployersRequirement"/>
    <w:rPr>
      <w:b/>
      <w:sz w:val="36"/>
    </w:rPr>
  </w:style>
  <w:style w:type="paragraph" w:customStyle="1" w:styleId="SEC3h1">
    <w:name w:val="SEC3 h1"/>
    <w:basedOn w:val="Normal"/>
    <w:link w:val="SEC3h1Char"/>
    <w:qFormat/>
    <w:rPr>
      <w:b/>
      <w:iCs/>
      <w:sz w:val="28"/>
      <w:szCs w:val="28"/>
    </w:rPr>
  </w:style>
  <w:style w:type="character" w:customStyle="1" w:styleId="SEC3h1Char">
    <w:name w:val="SEC3 h1 Char"/>
    <w:basedOn w:val="Fuentedeprrafopredeter"/>
    <w:link w:val="SEC3h1"/>
    <w:rPr>
      <w:b/>
      <w:iCs/>
      <w:sz w:val="28"/>
      <w:szCs w:val="28"/>
    </w:rPr>
  </w:style>
  <w:style w:type="character" w:customStyle="1" w:styleId="ClauseSubParaChar">
    <w:name w:val="ClauseSub_Para Char"/>
    <w:basedOn w:val="Fuentedeprrafopredeter"/>
    <w:link w:val="ClauseSubPara"/>
    <w:rPr>
      <w:sz w:val="22"/>
      <w:szCs w:val="22"/>
      <w:lang w:val="en-GB"/>
    </w:rPr>
  </w:style>
  <w:style w:type="paragraph" w:customStyle="1" w:styleId="SPDProposalForms">
    <w:name w:val="SPD Proposal Forms"/>
    <w:basedOn w:val="SPDTechnicalProposalForms"/>
    <w:link w:val="SPDProposalFormsChar"/>
    <w:qFormat/>
  </w:style>
  <w:style w:type="paragraph" w:customStyle="1" w:styleId="ProposalFormsheading">
    <w:name w:val="Proposal Forms heading"/>
    <w:basedOn w:val="SPDForms1"/>
    <w:link w:val="ProposalFormsheadingChar"/>
    <w:qFormat/>
  </w:style>
  <w:style w:type="character" w:customStyle="1" w:styleId="SPDProposalFormsChar">
    <w:name w:val="SPD Proposal Forms Char"/>
    <w:basedOn w:val="SPDTechnicalProposalFormsChar"/>
    <w:link w:val="SPDProposalForms"/>
    <w:rPr>
      <w:b/>
      <w:sz w:val="36"/>
    </w:rPr>
  </w:style>
  <w:style w:type="character" w:customStyle="1" w:styleId="SPDForms1Char">
    <w:name w:val="SPD Forms 1 Char"/>
    <w:basedOn w:val="Fuentedeprrafopredeter"/>
    <w:link w:val="SPDForms1"/>
    <w:rPr>
      <w:b/>
      <w:sz w:val="36"/>
    </w:rPr>
  </w:style>
  <w:style w:type="character" w:customStyle="1" w:styleId="ProposalFormsheadingChar">
    <w:name w:val="Proposal Forms heading Char"/>
    <w:basedOn w:val="SPDForms1Char"/>
    <w:link w:val="ProposalFormsheading"/>
    <w:rPr>
      <w:b/>
      <w:sz w:val="36"/>
    </w:rPr>
  </w:style>
  <w:style w:type="paragraph" w:customStyle="1" w:styleId="Sec4Head1">
    <w:name w:val="Sec4 Head1"/>
    <w:basedOn w:val="ProposalFormsheading"/>
    <w:qFormat/>
    <w:rPr>
      <w:noProof/>
    </w:rPr>
  </w:style>
  <w:style w:type="paragraph" w:customStyle="1" w:styleId="NKCabeza">
    <w:name w:val="NKCabeza"/>
    <w:uiPriority w:val="99"/>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Pr>
      <w:rFonts w:ascii="Times New Roman" w:eastAsia="Times New Roman" w:hAnsi="Times New Roman" w:cs="Times New Roman"/>
      <w:sz w:val="20"/>
      <w:szCs w:val="20"/>
    </w:rPr>
  </w:style>
  <w:style w:type="character" w:customStyle="1" w:styleId="SectionVHeaderCar">
    <w:name w:val="Section V. Header Car"/>
    <w:link w:val="SectionVHeader"/>
    <w:locked/>
    <w:rPr>
      <w:rFonts w:ascii="Arial" w:hAnsi="Arial"/>
      <w:b/>
      <w:sz w:val="36"/>
      <w:lang w:val="es-ES_tradnl"/>
    </w:rPr>
  </w:style>
  <w:style w:type="character" w:customStyle="1" w:styleId="S4-header1Car">
    <w:name w:val="S4-header1 Car"/>
    <w:link w:val="S4-header1"/>
    <w:uiPriority w:val="99"/>
    <w:locked/>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style>
  <w:style w:type="paragraph" w:customStyle="1" w:styleId="Style110">
    <w:name w:val="Style11"/>
    <w:basedOn w:val="S4-header1"/>
    <w:link w:val="Style11Car"/>
    <w:uiPriority w:val="99"/>
    <w:rPr>
      <w:rFonts w:ascii="Calibri" w:hAnsi="Calibri"/>
      <w:lang w:val="es-MX" w:eastAsia="es-ES"/>
    </w:rPr>
  </w:style>
  <w:style w:type="character" w:customStyle="1" w:styleId="Style11Car">
    <w:name w:val="Style11 Car"/>
    <w:link w:val="Style110"/>
    <w:uiPriority w:val="99"/>
    <w:locked/>
    <w:rPr>
      <w:rFonts w:ascii="Calibri" w:hAnsi="Calibri"/>
      <w:b/>
      <w:sz w:val="36"/>
      <w:lang w:val="es-MX" w:eastAsia="es-ES"/>
    </w:rPr>
  </w:style>
  <w:style w:type="paragraph" w:customStyle="1" w:styleId="Style12">
    <w:name w:val="Style12"/>
    <w:basedOn w:val="S4Header"/>
    <w:link w:val="Style12Car"/>
    <w:uiPriority w:val="99"/>
    <w:rPr>
      <w:rFonts w:ascii="Calibri" w:hAnsi="Calibri"/>
      <w:lang w:val="es-MX" w:eastAsia="es-ES"/>
    </w:rPr>
  </w:style>
  <w:style w:type="character" w:customStyle="1" w:styleId="Style12Car">
    <w:name w:val="Style12 Car"/>
    <w:link w:val="Style12"/>
    <w:uiPriority w:val="99"/>
    <w:locked/>
    <w:rPr>
      <w:rFonts w:ascii="Calibri" w:hAnsi="Calibri"/>
      <w:b/>
      <w:sz w:val="32"/>
      <w:lang w:val="es-MX" w:eastAsia="es-ES"/>
    </w:rPr>
  </w:style>
  <w:style w:type="paragraph" w:customStyle="1" w:styleId="Style16">
    <w:name w:val="Style16"/>
    <w:basedOn w:val="S9Header"/>
    <w:link w:val="Style16Car"/>
    <w:uiPriority w:val="99"/>
    <w:rPr>
      <w:rFonts w:ascii="Calibri" w:hAnsi="Calibri"/>
      <w:szCs w:val="20"/>
      <w:lang w:val="es-MX" w:eastAsia="es-ES"/>
    </w:rPr>
  </w:style>
  <w:style w:type="character" w:customStyle="1" w:styleId="Style16Car">
    <w:name w:val="Style16 Car"/>
    <w:link w:val="Style16"/>
    <w:uiPriority w:val="99"/>
    <w:locked/>
    <w:rPr>
      <w:rFonts w:ascii="Calibri" w:hAnsi="Calibri"/>
      <w:b/>
      <w:sz w:val="36"/>
      <w:lang w:val="es-MX" w:eastAsia="es-ES"/>
    </w:rPr>
  </w:style>
  <w:style w:type="character" w:customStyle="1" w:styleId="hps">
    <w:name w:val="hps"/>
    <w:uiPriority w:val="99"/>
    <w:rPr>
      <w:rFonts w:cs="Times New Roman"/>
    </w:rPr>
  </w:style>
  <w:style w:type="paragraph" w:customStyle="1" w:styleId="alist">
    <w:name w:val="a list"/>
    <w:basedOn w:val="Textosinformato"/>
    <w:link w:val="alistChar"/>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Pr>
      <w:rFonts w:ascii="Arial" w:hAnsi="Arial" w:cs="Arial"/>
      <w:sz w:val="22"/>
      <w:szCs w:val="22"/>
      <w:lang w:val="es-PA"/>
    </w:rPr>
  </w:style>
  <w:style w:type="paragraph" w:customStyle="1" w:styleId="Level11">
    <w:name w:val="Level 1.1"/>
    <w:basedOn w:val="Normal"/>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pPr>
      <w:spacing w:before="120"/>
      <w:ind w:left="720"/>
    </w:pPr>
    <w:rPr>
      <w:rFonts w:ascii="Arial" w:hAnsi="Arial" w:cs="Arial"/>
      <w:sz w:val="22"/>
      <w:szCs w:val="22"/>
      <w:lang w:val="es-PA"/>
    </w:rPr>
  </w:style>
  <w:style w:type="paragraph" w:customStyle="1" w:styleId="ilist">
    <w:name w:val="i list"/>
    <w:basedOn w:val="alist"/>
    <w:pPr>
      <w:tabs>
        <w:tab w:val="clear" w:pos="1066"/>
        <w:tab w:val="left" w:pos="1426"/>
      </w:tabs>
      <w:ind w:left="1426"/>
    </w:pPr>
  </w:style>
  <w:style w:type="paragraph" w:customStyle="1" w:styleId="level110">
    <w:name w:val="level11"/>
    <w:basedOn w:val="Normal"/>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pPr>
      <w:keepNext/>
      <w:spacing w:before="120"/>
      <w:ind w:left="706" w:hanging="706"/>
      <w:jc w:val="both"/>
    </w:pPr>
    <w:rPr>
      <w:rFonts w:ascii="Arial" w:hAnsi="Arial" w:cs="Arial"/>
      <w:sz w:val="20"/>
      <w:lang w:val="es-ES" w:eastAsia="es-ES"/>
    </w:rPr>
  </w:style>
  <w:style w:type="character" w:customStyle="1" w:styleId="Level2Car">
    <w:name w:val="Level 2 Car"/>
    <w:link w:val="Level2"/>
    <w:rPr>
      <w:rFonts w:ascii="Arial" w:hAnsi="Arial" w:cs="Arial"/>
      <w:szCs w:val="24"/>
      <w:lang w:val="es-ES" w:eastAsia="es-ES"/>
    </w:rPr>
  </w:style>
  <w:style w:type="paragraph" w:customStyle="1" w:styleId="Paragraph2">
    <w:name w:val="Paragraph 2"/>
    <w:basedOn w:val="Normal"/>
    <w:link w:val="Paragraph2Car"/>
    <w:pPr>
      <w:spacing w:before="120"/>
      <w:jc w:val="both"/>
    </w:pPr>
    <w:rPr>
      <w:rFonts w:ascii="Arial" w:hAnsi="Arial" w:cs="Arial"/>
      <w:sz w:val="20"/>
      <w:lang w:val="es-ES" w:eastAsia="es-ES"/>
    </w:rPr>
  </w:style>
  <w:style w:type="character" w:customStyle="1" w:styleId="Paragraph2Car">
    <w:name w:val="Paragraph 2 Car"/>
    <w:link w:val="Paragraph2"/>
    <w:rPr>
      <w:rFonts w:ascii="Arial" w:hAnsi="Arial" w:cs="Arial"/>
      <w:szCs w:val="24"/>
      <w:lang w:val="es-ES" w:eastAsia="es-ES"/>
    </w:rPr>
  </w:style>
  <w:style w:type="paragraph" w:customStyle="1" w:styleId="Level1">
    <w:name w:val="Level 1"/>
    <w:basedOn w:val="Normal"/>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Pr>
      <w:rFonts w:cs="Times New Roman"/>
      <w:bCs/>
      <w:szCs w:val="20"/>
    </w:rPr>
  </w:style>
  <w:style w:type="paragraph" w:customStyle="1" w:styleId="Level3">
    <w:name w:val="Level 3"/>
    <w:basedOn w:val="Normal"/>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pPr>
      <w:tabs>
        <w:tab w:val="clear" w:pos="-703"/>
        <w:tab w:val="num" w:pos="851"/>
      </w:tabs>
      <w:ind w:left="1571"/>
    </w:pPr>
    <w:rPr>
      <w:lang w:val="es-PA"/>
    </w:rPr>
  </w:style>
  <w:style w:type="numbering" w:customStyle="1" w:styleId="NKLAC">
    <w:name w:val="NKLAC"/>
    <w:pPr>
      <w:numPr>
        <w:numId w:val="54"/>
      </w:numPr>
    </w:pPr>
  </w:style>
  <w:style w:type="table" w:customStyle="1" w:styleId="NKLACTabla">
    <w:name w:val="NKLACTabla"/>
    <w:basedOn w:val="Tablanormal"/>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pPr>
      <w:spacing w:before="240"/>
    </w:pPr>
  </w:style>
  <w:style w:type="paragraph" w:customStyle="1" w:styleId="ecxmsonormal">
    <w:name w:val="ecxmsonormal"/>
    <w:basedOn w:val="Normal"/>
    <w:pPr>
      <w:spacing w:after="324"/>
    </w:pPr>
    <w:rPr>
      <w:rFonts w:ascii="Calibri" w:hAnsi="Calibri"/>
      <w:sz w:val="20"/>
      <w:lang w:val="es-PE" w:eastAsia="es-PE"/>
    </w:rPr>
  </w:style>
  <w:style w:type="character" w:customStyle="1" w:styleId="ecxspelle">
    <w:name w:val="ecxspelle"/>
  </w:style>
  <w:style w:type="paragraph" w:customStyle="1" w:styleId="TITULO3">
    <w:name w:val="TITULO 3"/>
    <w:basedOn w:val="Normal"/>
    <w:next w:val="Normal"/>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Pr>
      <w:rFonts w:ascii="Trebuchet MS" w:eastAsia="MS Mincho" w:hAnsi="Trebuchet MS"/>
      <w:b/>
      <w:szCs w:val="24"/>
      <w:lang w:val="es-PA"/>
    </w:rPr>
  </w:style>
  <w:style w:type="paragraph" w:customStyle="1" w:styleId="ListParagraph1">
    <w:name w:val="List Paragraph1"/>
    <w:basedOn w:val="Normal"/>
    <w:uiPriority w:val="34"/>
    <w:qFormat/>
    <w:pPr>
      <w:ind w:left="720"/>
    </w:pPr>
    <w:rPr>
      <w:rFonts w:ascii="Calibri" w:hAnsi="Calibri"/>
      <w:sz w:val="20"/>
      <w:lang w:val="es-ES_tradnl"/>
    </w:rPr>
  </w:style>
  <w:style w:type="character" w:styleId="Nmerodelnea">
    <w:name w:val="line number"/>
    <w:basedOn w:val="Fuentedeprrafopredeter"/>
    <w:uiPriority w:val="99"/>
    <w:unhideWhenUsed/>
  </w:style>
  <w:style w:type="numbering" w:customStyle="1" w:styleId="Sinlista1">
    <w:name w:val="Sin lista1"/>
    <w:next w:val="Sinlista"/>
    <w:uiPriority w:val="99"/>
    <w:semiHidden/>
    <w:unhideWhenUsed/>
  </w:style>
  <w:style w:type="paragraph" w:customStyle="1" w:styleId="Seccin">
    <w:name w:val="Sección"/>
    <w:basedOn w:val="Normal"/>
    <w:pPr>
      <w:keepNext/>
      <w:spacing w:before="120"/>
      <w:jc w:val="center"/>
    </w:pPr>
    <w:rPr>
      <w:rFonts w:ascii="Arial" w:eastAsia="MS Mincho" w:hAnsi="Arial"/>
      <w:b/>
      <w:caps/>
      <w:sz w:val="20"/>
      <w:lang w:val="es-PA"/>
    </w:rPr>
  </w:style>
  <w:style w:type="paragraph" w:customStyle="1" w:styleId="EspecT1">
    <w:name w:val="EspecT1"/>
    <w:basedOn w:val="Normal"/>
    <w:link w:val="EspecT1Car"/>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Pr>
      <w:rFonts w:ascii="Arial" w:eastAsia="MS Mincho" w:hAnsi="Arial"/>
      <w:szCs w:val="24"/>
      <w:lang w:val="es-ES_tradnl"/>
    </w:rPr>
  </w:style>
  <w:style w:type="character" w:customStyle="1" w:styleId="EspecT1Car">
    <w:name w:val="EspecT1 Car"/>
    <w:link w:val="EspecT1"/>
    <w:locked/>
    <w:rPr>
      <w:rFonts w:ascii="Arial" w:eastAsia="MS Mincho" w:hAnsi="Arial"/>
      <w:caps/>
      <w:szCs w:val="24"/>
      <w:lang w:val="es-ES_tradnl"/>
    </w:rPr>
  </w:style>
  <w:style w:type="character" w:customStyle="1" w:styleId="EspecN3Car">
    <w:name w:val="EspecN3 Car"/>
    <w:link w:val="EspecN3"/>
    <w:locked/>
    <w:rPr>
      <w:rFonts w:ascii="Arial" w:eastAsia="MS Mincho" w:hAnsi="Arial"/>
      <w:szCs w:val="24"/>
      <w:lang w:val="es-ES_tradnl"/>
    </w:rPr>
  </w:style>
  <w:style w:type="numbering" w:customStyle="1" w:styleId="NKSpec">
    <w:name w:val="NKSpec"/>
    <w:pPr>
      <w:numPr>
        <w:numId w:val="56"/>
      </w:numPr>
    </w:pPr>
  </w:style>
  <w:style w:type="character" w:customStyle="1" w:styleId="st">
    <w:name w:val="st"/>
    <w:basedOn w:val="Fuentedeprrafopredeter"/>
  </w:style>
  <w:style w:type="paragraph" w:customStyle="1" w:styleId="Prrafodelista2">
    <w:name w:val="Párrafo de lista2"/>
    <w:basedOn w:val="Normal"/>
    <w:pPr>
      <w:ind w:left="720"/>
      <w:contextualSpacing/>
      <w:jc w:val="both"/>
    </w:pPr>
    <w:rPr>
      <w:rFonts w:ascii="Calibri" w:hAnsi="Calibri"/>
      <w:sz w:val="20"/>
      <w:szCs w:val="20"/>
      <w:lang w:val="es-ES_tradnl"/>
    </w:rPr>
  </w:style>
  <w:style w:type="numbering" w:customStyle="1" w:styleId="Estilo1">
    <w:name w:val="Estilo1"/>
    <w:uiPriority w:val="99"/>
    <w:pPr>
      <w:numPr>
        <w:numId w:val="57"/>
      </w:numPr>
    </w:pPr>
  </w:style>
  <w:style w:type="numbering" w:customStyle="1" w:styleId="Estilo2">
    <w:name w:val="Estilo2"/>
    <w:uiPriority w:val="99"/>
    <w:pPr>
      <w:numPr>
        <w:numId w:val="58"/>
      </w:numPr>
    </w:pPr>
  </w:style>
  <w:style w:type="numbering" w:customStyle="1" w:styleId="Sinlista2">
    <w:name w:val="Sin lista2"/>
    <w:next w:val="Sinlista"/>
    <w:uiPriority w:val="99"/>
    <w:semiHidden/>
    <w:unhideWhenUsed/>
  </w:style>
  <w:style w:type="table" w:customStyle="1" w:styleId="Tablaconcuadrcula1">
    <w:name w:val="Tabla con cuadrícula1"/>
    <w:basedOn w:val="Tablanormal"/>
    <w:next w:val="Tablaconcuadrcula"/>
    <w:uiPriority w:val="59"/>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paragraph" w:customStyle="1" w:styleId="Revision1">
    <w:name w:val="Revision1"/>
    <w:hidden/>
    <w:uiPriority w:val="99"/>
    <w:semiHidden/>
    <w:rPr>
      <w:rFonts w:ascii="Calibri" w:hAnsi="Calibri"/>
      <w:lang w:val="es-ES_tradnl"/>
    </w:rPr>
  </w:style>
  <w:style w:type="paragraph" w:customStyle="1" w:styleId="CM2">
    <w:name w:val="CM2"/>
    <w:basedOn w:val="Default"/>
    <w:next w:val="Default"/>
    <w:uiPriority w:val="99"/>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pPr>
      <w:widowControl w:val="0"/>
    </w:pPr>
    <w:rPr>
      <w:rFonts w:ascii="Arial" w:hAnsi="Arial" w:cs="Arial"/>
      <w:color w:val="auto"/>
      <w:sz w:val="20"/>
      <w:lang w:val="es-PA" w:eastAsia="es-PA"/>
    </w:rPr>
  </w:style>
  <w:style w:type="paragraph" w:customStyle="1" w:styleId="CM7">
    <w:name w:val="CM7"/>
    <w:basedOn w:val="Default"/>
    <w:next w:val="Default"/>
    <w:uiPriority w:val="99"/>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Pr>
      <w:rFonts w:ascii="Trebuchet MS" w:eastAsia="MS Mincho" w:hAnsi="Trebuchet MS" w:cs="Arial"/>
      <w:color w:val="000000"/>
      <w:szCs w:val="24"/>
      <w:lang w:val="es-ES" w:eastAsia="ja-JP"/>
    </w:rPr>
  </w:style>
  <w:style w:type="paragraph" w:customStyle="1" w:styleId="xl349">
    <w:name w:val="xl349"/>
    <w:basedOn w:val="Normal"/>
    <w:pPr>
      <w:spacing w:before="100" w:beforeAutospacing="1" w:after="100" w:afterAutospacing="1"/>
      <w:jc w:val="center"/>
      <w:textAlignment w:val="center"/>
    </w:pPr>
    <w:rPr>
      <w:rFonts w:ascii="Calibri" w:hAnsi="Calibri"/>
      <w:sz w:val="20"/>
    </w:rPr>
  </w:style>
  <w:style w:type="paragraph" w:customStyle="1" w:styleId="xl350">
    <w:name w:val="xl3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pPr>
      <w:widowControl w:val="0"/>
      <w:spacing w:before="960"/>
      <w:jc w:val="center"/>
    </w:pPr>
    <w:rPr>
      <w:rFonts w:ascii="Arial" w:eastAsia="MS Mincho" w:hAnsi="Arial"/>
      <w:b/>
      <w:caps/>
      <w:sz w:val="22"/>
      <w:lang w:val="es-PA"/>
    </w:rPr>
  </w:style>
  <w:style w:type="character" w:customStyle="1" w:styleId="FinSeccCar">
    <w:name w:val="FinSecc Car"/>
    <w:link w:val="FinSecc"/>
    <w:locked/>
    <w:rPr>
      <w:rFonts w:ascii="Arial" w:eastAsia="MS Mincho" w:hAnsi="Arial"/>
      <w:b/>
      <w:caps/>
      <w:sz w:val="22"/>
      <w:szCs w:val="24"/>
      <w:lang w:val="es-PA"/>
    </w:rPr>
  </w:style>
  <w:style w:type="paragraph" w:customStyle="1" w:styleId="EspecN4">
    <w:name w:val="EspecN4"/>
    <w:basedOn w:val="Normal"/>
    <w:pPr>
      <w:widowControl w:val="0"/>
      <w:spacing w:before="120"/>
      <w:jc w:val="both"/>
    </w:pPr>
    <w:rPr>
      <w:rFonts w:ascii="Arial" w:eastAsia="MS Mincho" w:hAnsi="Arial"/>
      <w:sz w:val="22"/>
      <w:lang w:val="es-PA"/>
    </w:rPr>
  </w:style>
  <w:style w:type="paragraph" w:customStyle="1" w:styleId="A0">
    <w:name w:val="A."/>
    <w:basedOn w:val="Normal"/>
    <w:link w:val="ACar"/>
    <w:autoRedefine/>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pPr>
      <w:spacing w:before="60"/>
      <w:ind w:left="720" w:hanging="720"/>
      <w:jc w:val="both"/>
    </w:pPr>
    <w:rPr>
      <w:rFonts w:ascii="Arial" w:hAnsi="Arial" w:cs="Arial"/>
      <w:sz w:val="20"/>
      <w:szCs w:val="20"/>
      <w:lang w:val="es-MX"/>
    </w:rPr>
  </w:style>
  <w:style w:type="character" w:customStyle="1" w:styleId="ACar">
    <w:name w:val="A. Car"/>
    <w:link w:val="A0"/>
    <w:locked/>
    <w:rPr>
      <w:rFonts w:ascii="Arial" w:eastAsia="MS Mincho" w:hAnsi="Arial"/>
      <w:sz w:val="22"/>
      <w:szCs w:val="24"/>
      <w:lang w:val="es-PA"/>
    </w:rPr>
  </w:style>
  <w:style w:type="character" w:customStyle="1" w:styleId="1Car">
    <w:name w:val="1. Car"/>
    <w:link w:val="10"/>
    <w:uiPriority w:val="99"/>
    <w:locked/>
    <w:rPr>
      <w:rFonts w:ascii="Arial" w:hAnsi="Arial" w:cs="Arial"/>
      <w:lang w:val="es-MX"/>
    </w:rPr>
  </w:style>
  <w:style w:type="paragraph" w:customStyle="1" w:styleId="Siglas">
    <w:name w:val="Siglas"/>
    <w:basedOn w:val="Normal"/>
    <w:autoRedefine/>
    <w:semiHidden/>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style>
  <w:style w:type="paragraph" w:customStyle="1" w:styleId="pARRAFOCAPITULO">
    <w:name w:val="pARRAFO CAPITULO"/>
    <w:basedOn w:val="Sangradetextonormal"/>
    <w:uiPriority w:val="99"/>
    <w:pPr>
      <w:ind w:left="426"/>
      <w:jc w:val="both"/>
    </w:pPr>
    <w:rPr>
      <w:szCs w:val="20"/>
      <w:lang w:val="es-ES_tradnl" w:eastAsia="es-ES"/>
    </w:rPr>
  </w:style>
  <w:style w:type="paragraph" w:customStyle="1" w:styleId="tabladata">
    <w:name w:val="tabla data"/>
    <w:basedOn w:val="Normal"/>
    <w:autoRedefine/>
    <w:unhideWhenUsed/>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pPr>
      <w:widowControl w:val="0"/>
      <w:spacing w:before="120"/>
      <w:jc w:val="both"/>
    </w:pPr>
    <w:rPr>
      <w:rFonts w:ascii="Arial" w:eastAsia="MS Mincho" w:hAnsi="Arial"/>
      <w:sz w:val="20"/>
      <w:lang w:val="es-PA"/>
    </w:rPr>
  </w:style>
  <w:style w:type="paragraph" w:customStyle="1" w:styleId="a1">
    <w:name w:val="a."/>
    <w:basedOn w:val="Normal"/>
    <w:uiPriority w:val="99"/>
    <w:unhideWhenUsed/>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pPr>
      <w:widowControl w:val="0"/>
    </w:pPr>
    <w:rPr>
      <w:rFonts w:ascii="Calibri" w:hAnsi="Calibri"/>
      <w:b/>
      <w:color w:val="000000"/>
      <w:sz w:val="20"/>
      <w:szCs w:val="20"/>
    </w:rPr>
  </w:style>
  <w:style w:type="paragraph" w:customStyle="1" w:styleId="Datatabla0">
    <w:name w:val="Data tabla"/>
    <w:basedOn w:val="Normal"/>
    <w:autoRedefine/>
    <w:uiPriority w:val="99"/>
    <w:unhideWhenUsed/>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pPr>
      <w:spacing w:before="60"/>
      <w:ind w:left="1134"/>
      <w:jc w:val="both"/>
    </w:pPr>
    <w:rPr>
      <w:rFonts w:ascii="Calibri" w:hAnsi="Calibri"/>
      <w:sz w:val="20"/>
      <w:szCs w:val="20"/>
      <w:lang w:val="es-PE"/>
    </w:rPr>
  </w:style>
  <w:style w:type="paragraph" w:customStyle="1" w:styleId="101">
    <w:name w:val="1.01"/>
    <w:basedOn w:val="Normal"/>
    <w:autoRedefine/>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Pr>
      <w:rFonts w:ascii="Trebuchet MS" w:eastAsia="MS Mincho" w:hAnsi="Trebuchet MS"/>
      <w:lang w:val="es-PA" w:eastAsia="zh-CN" w:bidi="ar-SA"/>
    </w:rPr>
  </w:style>
  <w:style w:type="paragraph" w:customStyle="1" w:styleId="NKTexto">
    <w:name w:val="NKTexto"/>
    <w:basedOn w:val="Normal"/>
    <w:link w:val="NKTextoCar"/>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Pr>
      <w:rFonts w:ascii="Trebuchet MS" w:eastAsia="MS Mincho" w:hAnsi="Trebuchet MS" w:cs="MS Mincho"/>
      <w:szCs w:val="24"/>
      <w:lang w:val="es-PA"/>
    </w:rPr>
  </w:style>
  <w:style w:type="paragraph" w:customStyle="1" w:styleId="Nmero1">
    <w:name w:val="Número 1."/>
    <w:basedOn w:val="Sangradetextonormal"/>
    <w:autoRedefine/>
    <w:uiPriority w:val="99"/>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pPr>
      <w:widowControl w:val="0"/>
      <w:spacing w:before="240"/>
      <w:jc w:val="center"/>
    </w:pPr>
    <w:rPr>
      <w:rFonts w:ascii="Arial" w:eastAsia="MS Mincho" w:hAnsi="Arial"/>
      <w:b/>
      <w:caps/>
      <w:sz w:val="22"/>
      <w:lang w:val="es-ES_tradnl"/>
    </w:rPr>
  </w:style>
  <w:style w:type="character" w:customStyle="1" w:styleId="CarCar3">
    <w:name w:val="Car Car3"/>
    <w:rPr>
      <w:sz w:val="24"/>
      <w:lang w:val="es-MX" w:eastAsia="en-US" w:bidi="ar-SA"/>
    </w:rPr>
  </w:style>
  <w:style w:type="paragraph" w:customStyle="1" w:styleId="Texttabla">
    <w:name w:val="Text tabla"/>
    <w:basedOn w:val="Normal"/>
    <w:autoRedefine/>
    <w:unhideWhenUsed/>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Pr>
      <w:rFonts w:cs="Times New Roman"/>
      <w:bCs/>
      <w:sz w:val="24"/>
      <w:szCs w:val="24"/>
      <w:lang w:val="es-MX" w:eastAsia="en-US" w:bidi="ar-SA"/>
    </w:rPr>
  </w:style>
  <w:style w:type="paragraph" w:customStyle="1" w:styleId="Equation">
    <w:name w:val="Equation"/>
    <w:basedOn w:val="Normal"/>
    <w:next w:val="Normal"/>
    <w:uiPriority w:val="99"/>
    <w:pPr>
      <w:spacing w:before="120"/>
      <w:jc w:val="center"/>
    </w:pPr>
    <w:rPr>
      <w:rFonts w:ascii="Arial" w:eastAsia="MS Mincho" w:hAnsi="Arial"/>
      <w:sz w:val="22"/>
      <w:lang w:val="es-PA"/>
    </w:rPr>
  </w:style>
  <w:style w:type="paragraph" w:customStyle="1" w:styleId="Tabledata">
    <w:name w:val="Table data"/>
    <w:basedOn w:val="Normal"/>
    <w:autoRedefine/>
    <w:unhideWhenUsed/>
    <w:pPr>
      <w:spacing w:before="40" w:after="40"/>
      <w:jc w:val="center"/>
    </w:pPr>
    <w:rPr>
      <w:rFonts w:ascii="Arial" w:eastAsia="MS Mincho" w:hAnsi="Arial"/>
      <w:sz w:val="22"/>
      <w:lang w:val="es-PA"/>
    </w:rPr>
  </w:style>
  <w:style w:type="paragraph" w:customStyle="1" w:styleId="Where">
    <w:name w:val="Where"/>
    <w:basedOn w:val="Normal"/>
    <w:unhideWhenUsed/>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pPr>
      <w:jc w:val="left"/>
    </w:pPr>
  </w:style>
  <w:style w:type="paragraph" w:customStyle="1" w:styleId="FINDESECCION">
    <w:name w:val="FIN DE SECCION"/>
    <w:basedOn w:val="Encabezado"/>
    <w:autoRedefine/>
    <w:uiPriority w:val="99"/>
    <w:semiHidden/>
    <w:unhideWhenUsed/>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pPr>
      <w:jc w:val="center"/>
    </w:pPr>
  </w:style>
  <w:style w:type="paragraph" w:customStyle="1" w:styleId="LetraA">
    <w:name w:val="Letra A."/>
    <w:basedOn w:val="Normal"/>
    <w:autoRedefine/>
    <w:uiPriority w:val="99"/>
    <w:semiHidden/>
    <w:unhideWhenUsed/>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Pr>
      <w:rFonts w:cs="Times New Roman"/>
      <w:sz w:val="24"/>
      <w:szCs w:val="24"/>
      <w:lang w:val="en-US" w:eastAsia="en-US" w:bidi="ar-SA"/>
    </w:rPr>
  </w:style>
  <w:style w:type="paragraph" w:customStyle="1" w:styleId="Textoindependiente21">
    <w:name w:val="Texto independiente 21"/>
    <w:basedOn w:val="Normal"/>
    <w:semiHidden/>
    <w:unhideWhenUsed/>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style>
  <w:style w:type="paragraph" w:customStyle="1" w:styleId="xl38">
    <w:name w:val="xl38"/>
    <w:basedOn w:val="Normal"/>
    <w:semiHidden/>
    <w:unhideWhenUsed/>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pPr>
      <w:numPr>
        <w:numId w:val="60"/>
      </w:numPr>
      <w:spacing w:after="60"/>
    </w:pPr>
    <w:rPr>
      <w:rFonts w:ascii="Calibri" w:hAnsi="Calibri"/>
      <w:lang w:val="es-ES"/>
    </w:rPr>
  </w:style>
  <w:style w:type="paragraph" w:customStyle="1" w:styleId="TxBrp4">
    <w:name w:val="TxBr_p4"/>
    <w:basedOn w:val="Normal"/>
    <w:semiHidden/>
    <w:unhideWhenUsed/>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style>
  <w:style w:type="numbering" w:customStyle="1" w:styleId="Sinlista3">
    <w:name w:val="Sin lista3"/>
    <w:next w:val="Sinlista"/>
    <w:uiPriority w:val="99"/>
    <w:semiHidden/>
    <w:unhideWhenUsed/>
  </w:style>
  <w:style w:type="numbering" w:customStyle="1" w:styleId="NKLAC1">
    <w:name w:val="NKLAC1"/>
  </w:style>
  <w:style w:type="numbering" w:customStyle="1" w:styleId="Sinlista12">
    <w:name w:val="Sin lista12"/>
    <w:next w:val="Sinlista"/>
    <w:uiPriority w:val="99"/>
    <w:semiHidden/>
    <w:unhideWhenUsed/>
  </w:style>
  <w:style w:type="numbering" w:customStyle="1" w:styleId="NKSpec1">
    <w:name w:val="NKSpec1"/>
  </w:style>
  <w:style w:type="numbering" w:customStyle="1" w:styleId="Estilo11">
    <w:name w:val="Estilo11"/>
    <w:uiPriority w:val="99"/>
  </w:style>
  <w:style w:type="numbering" w:customStyle="1" w:styleId="Estilo21">
    <w:name w:val="Estilo21"/>
    <w:uiPriority w:val="99"/>
  </w:style>
  <w:style w:type="numbering" w:customStyle="1" w:styleId="Sinlista21">
    <w:name w:val="Sin lista21"/>
    <w:next w:val="Sinlista"/>
    <w:uiPriority w:val="99"/>
    <w:semiHidden/>
    <w:unhideWhenUsed/>
  </w:style>
  <w:style w:type="numbering" w:customStyle="1" w:styleId="Sinlista111">
    <w:name w:val="Sin lista111"/>
    <w:next w:val="Sinlista"/>
    <w:uiPriority w:val="99"/>
    <w:semiHidden/>
    <w:unhideWhenUsed/>
  </w:style>
  <w:style w:type="numbering" w:customStyle="1" w:styleId="Sinlista4">
    <w:name w:val="Sin lista4"/>
    <w:next w:val="Sinlista"/>
    <w:uiPriority w:val="99"/>
    <w:semiHidden/>
    <w:unhideWhenUsed/>
  </w:style>
  <w:style w:type="numbering" w:customStyle="1" w:styleId="NKLAC2">
    <w:name w:val="NKLAC2"/>
  </w:style>
  <w:style w:type="numbering" w:customStyle="1" w:styleId="Sinlista13">
    <w:name w:val="Sin lista13"/>
    <w:next w:val="Sinlista"/>
    <w:uiPriority w:val="99"/>
    <w:semiHidden/>
    <w:unhideWhenUsed/>
  </w:style>
  <w:style w:type="numbering" w:customStyle="1" w:styleId="NKSpec2">
    <w:name w:val="NKSpec2"/>
    <w:pPr>
      <w:numPr>
        <w:numId w:val="61"/>
      </w:numPr>
    </w:pPr>
  </w:style>
  <w:style w:type="numbering" w:customStyle="1" w:styleId="Estilo12">
    <w:name w:val="Estilo12"/>
    <w:uiPriority w:val="99"/>
  </w:style>
  <w:style w:type="numbering" w:customStyle="1" w:styleId="Estilo22">
    <w:name w:val="Estilo22"/>
    <w:uiPriority w:val="99"/>
  </w:style>
  <w:style w:type="numbering" w:customStyle="1" w:styleId="Sinlista22">
    <w:name w:val="Sin lista22"/>
    <w:next w:val="Sinlista"/>
    <w:uiPriority w:val="99"/>
    <w:semiHidden/>
    <w:unhideWhenUsed/>
  </w:style>
  <w:style w:type="numbering" w:customStyle="1" w:styleId="Sinlista112">
    <w:name w:val="Sin lista112"/>
    <w:next w:val="Sinlista"/>
    <w:uiPriority w:val="99"/>
    <w:semiHidden/>
    <w:unhideWhenUsed/>
  </w:style>
  <w:style w:type="numbering" w:customStyle="1" w:styleId="Sinlista5">
    <w:name w:val="Sin lista5"/>
    <w:next w:val="Sinlista"/>
    <w:uiPriority w:val="99"/>
    <w:semiHidden/>
    <w:unhideWhenUsed/>
  </w:style>
  <w:style w:type="numbering" w:customStyle="1" w:styleId="NKSpec3">
    <w:name w:val="NKSpec3"/>
    <w:pPr>
      <w:numPr>
        <w:numId w:val="65"/>
      </w:numPr>
    </w:pPr>
  </w:style>
  <w:style w:type="table" w:customStyle="1" w:styleId="Tablaconcuadrcula2">
    <w:name w:val="Tabla con cuadrícula2"/>
    <w:basedOn w:val="Tablanormal"/>
    <w:next w:val="Tablaconcuadrcula"/>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style>
  <w:style w:type="numbering" w:customStyle="1" w:styleId="Sinlista6">
    <w:name w:val="Sin lista6"/>
    <w:next w:val="Sinlista"/>
    <w:uiPriority w:val="99"/>
    <w:semiHidden/>
    <w:unhideWhenUsed/>
  </w:style>
  <w:style w:type="table" w:customStyle="1" w:styleId="Tablaconcuadrcula3">
    <w:name w:val="Tabla con cuadrícula3"/>
    <w:basedOn w:val="Tablanormal"/>
    <w:next w:val="Tablaconcuadrcula"/>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style>
  <w:style w:type="table" w:customStyle="1" w:styleId="NKLACTabla1">
    <w:name w:val="NKLACTabla1"/>
    <w:basedOn w:val="Tablanormal"/>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style>
  <w:style w:type="numbering" w:customStyle="1" w:styleId="NKSpec4">
    <w:name w:val="NKSpec4"/>
    <w:pPr>
      <w:numPr>
        <w:numId w:val="62"/>
      </w:numPr>
    </w:pPr>
  </w:style>
  <w:style w:type="numbering" w:customStyle="1" w:styleId="Estilo13">
    <w:name w:val="Estilo13"/>
    <w:uiPriority w:val="99"/>
    <w:pPr>
      <w:numPr>
        <w:numId w:val="63"/>
      </w:numPr>
    </w:pPr>
  </w:style>
  <w:style w:type="numbering" w:customStyle="1" w:styleId="Estilo23">
    <w:name w:val="Estilo23"/>
    <w:uiPriority w:val="99"/>
    <w:pPr>
      <w:numPr>
        <w:numId w:val="64"/>
      </w:numPr>
    </w:pPr>
  </w:style>
  <w:style w:type="numbering" w:customStyle="1" w:styleId="Sinlista23">
    <w:name w:val="Sin lista23"/>
    <w:next w:val="Sinlista"/>
    <w:uiPriority w:val="99"/>
    <w:semiHidden/>
    <w:unhideWhenUsed/>
  </w:style>
  <w:style w:type="table" w:customStyle="1" w:styleId="Tablaconcuadrcula11">
    <w:name w:val="Tabla con cuadrícula11"/>
    <w:basedOn w:val="Tablanormal"/>
    <w:next w:val="Tablaconcuadrcula"/>
    <w:uiPriority w:val="59"/>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style>
  <w:style w:type="numbering" w:customStyle="1" w:styleId="NoList1">
    <w:name w:val="No List1"/>
    <w:next w:val="Sinlista"/>
    <w:uiPriority w:val="99"/>
    <w:semiHidden/>
    <w:unhideWhenUsed/>
  </w:style>
  <w:style w:type="table" w:customStyle="1" w:styleId="TableGrid1">
    <w:name w:val="Table Grid1"/>
    <w:basedOn w:val="Tablanormal"/>
    <w:next w:val="Tablaconcuadrcula"/>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style>
  <w:style w:type="numbering" w:customStyle="1" w:styleId="NKSpec5">
    <w:name w:val="NKSpec5"/>
  </w:style>
  <w:style w:type="numbering" w:customStyle="1" w:styleId="Estilo14">
    <w:name w:val="Estilo14"/>
    <w:uiPriority w:val="99"/>
  </w:style>
  <w:style w:type="numbering" w:customStyle="1" w:styleId="Estilo24">
    <w:name w:val="Estilo24"/>
    <w:uiPriority w:val="99"/>
  </w:style>
  <w:style w:type="numbering" w:customStyle="1" w:styleId="Sinlista24">
    <w:name w:val="Sin lista24"/>
    <w:next w:val="Sinlista"/>
    <w:uiPriority w:val="99"/>
    <w:semiHidden/>
    <w:unhideWhenUsed/>
  </w:style>
  <w:style w:type="table" w:customStyle="1" w:styleId="Tablaconcuadrcula12">
    <w:name w:val="Tabla con cuadrícula12"/>
    <w:basedOn w:val="Tablanormal"/>
    <w:next w:val="Tablaconcuadrcula"/>
    <w:uiPriority w:val="59"/>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style>
  <w:style w:type="numbering" w:customStyle="1" w:styleId="NoList2">
    <w:name w:val="No List2"/>
    <w:next w:val="Sinlista"/>
    <w:uiPriority w:val="99"/>
    <w:semiHidden/>
    <w:unhideWhenUsed/>
  </w:style>
  <w:style w:type="table" w:customStyle="1" w:styleId="TableGrid2">
    <w:name w:val="Table Grid2"/>
    <w:basedOn w:val="Tablanormal"/>
    <w:next w:val="Tablaconcuadrcula"/>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Pr>
      <w:sz w:val="72"/>
      <w:szCs w:val="24"/>
      <w:lang w:val="es-ES_tradnl"/>
    </w:rPr>
  </w:style>
  <w:style w:type="character" w:customStyle="1" w:styleId="UnresolvedMention1">
    <w:name w:val="Unresolved Mention1"/>
    <w:basedOn w:val="Fuentedeprrafopredeter"/>
    <w:uiPriority w:val="99"/>
    <w:semiHidden/>
    <w:unhideWhenUsed/>
    <w:rPr>
      <w:color w:val="808080"/>
      <w:shd w:val="clear" w:color="auto" w:fill="E6E6E6"/>
    </w:rPr>
  </w:style>
  <w:style w:type="paragraph" w:customStyle="1" w:styleId="SectionXHeading">
    <w:name w:val="Section X Heading"/>
    <w:basedOn w:val="Normal"/>
    <w:pPr>
      <w:spacing w:before="240" w:after="240"/>
      <w:jc w:val="center"/>
    </w:pPr>
    <w:rPr>
      <w:rFonts w:ascii="Times New Roman Bold" w:hAnsi="Times New Roman Bold"/>
      <w:b/>
      <w:sz w:val="36"/>
    </w:rPr>
  </w:style>
  <w:style w:type="paragraph" w:customStyle="1" w:styleId="UG-Heading2">
    <w:name w:val="UG - Heading 2"/>
    <w:basedOn w:val="Ttulo2"/>
    <w:next w:val="Normal"/>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pPr>
      <w:spacing w:before="120" w:after="240"/>
    </w:pPr>
    <w:rPr>
      <w:b/>
      <w:sz w:val="24"/>
      <w:szCs w:val="24"/>
    </w:rPr>
  </w:style>
  <w:style w:type="paragraph" w:customStyle="1" w:styleId="SectionHeading">
    <w:name w:val="Section Heading"/>
    <w:basedOn w:val="SectionIIIHeading1"/>
    <w:link w:val="SectionHeadingCar"/>
    <w:qFormat/>
    <w:pPr>
      <w:jc w:val="center"/>
    </w:pPr>
    <w:rPr>
      <w:sz w:val="44"/>
    </w:rPr>
  </w:style>
  <w:style w:type="paragraph" w:customStyle="1" w:styleId="StyleSec1-ClausesLeft0Hanging03Before0ptAfte">
    <w:name w:val="Style Sec1-Clauses + Left:  0&quot; Hanging:  0.3&quot; Before:  0 pt Afte..."/>
    <w:basedOn w:val="Sec1-Clauses"/>
    <w:pPr>
      <w:spacing w:before="0" w:after="200"/>
      <w:ind w:left="432" w:hanging="432"/>
    </w:pPr>
    <w:rPr>
      <w:bCs/>
    </w:rPr>
  </w:style>
  <w:style w:type="paragraph" w:customStyle="1" w:styleId="StyleSec1-ClausesAfter10pt">
    <w:name w:val="Style Sec1-Clauses + After:  10 pt"/>
    <w:basedOn w:val="Sec1-Clauses"/>
    <w:pPr>
      <w:spacing w:before="0" w:after="200"/>
      <w:ind w:left="432" w:hanging="432"/>
    </w:pPr>
    <w:rPr>
      <w:bCs/>
    </w:rPr>
  </w:style>
  <w:style w:type="paragraph" w:customStyle="1" w:styleId="Sec1-ClausesAfter10pt1">
    <w:name w:val="Sec1-Clauses + After:  10 pt1"/>
    <w:basedOn w:val="Sec1-Clauses"/>
    <w:link w:val="Sec1-ClausesAfter10pt1Car"/>
    <w:pPr>
      <w:numPr>
        <w:numId w:val="94"/>
      </w:numPr>
      <w:spacing w:before="0" w:after="200"/>
    </w:pPr>
    <w:rPr>
      <w:bCs/>
      <w:szCs w:val="24"/>
    </w:rPr>
  </w:style>
  <w:style w:type="paragraph" w:customStyle="1" w:styleId="Sec1-Para">
    <w:name w:val="Sec 1 - Para"/>
    <w:basedOn w:val="Sub-ClauseText"/>
    <w:qFormat/>
    <w:pPr>
      <w:numPr>
        <w:numId w:val="95"/>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pPr>
      <w:numPr>
        <w:numId w:val="96"/>
      </w:numPr>
    </w:pPr>
  </w:style>
  <w:style w:type="paragraph" w:customStyle="1" w:styleId="Sec8Sub-Clauses">
    <w:name w:val="Sec 8 Sub-Clauses"/>
    <w:basedOn w:val="Sec8Clauses"/>
    <w:qFormat/>
    <w:pPr>
      <w:numPr>
        <w:ilvl w:val="1"/>
        <w:numId w:val="97"/>
      </w:numPr>
      <w:ind w:left="576" w:hanging="360"/>
    </w:pPr>
    <w:rPr>
      <w:b w:val="0"/>
    </w:rPr>
  </w:style>
  <w:style w:type="paragraph" w:customStyle="1" w:styleId="StyleSec8Sub-ClausesJustified">
    <w:name w:val="Style Sec 8 Sub-Clauses + Justified"/>
    <w:basedOn w:val="Sec8Sub-Clauses"/>
    <w:pPr>
      <w:numPr>
        <w:ilvl w:val="0"/>
        <w:numId w:val="98"/>
      </w:numPr>
      <w:ind w:left="792"/>
      <w:jc w:val="both"/>
    </w:pPr>
    <w:rPr>
      <w:bCs w:val="0"/>
    </w:rPr>
  </w:style>
  <w:style w:type="numbering" w:customStyle="1" w:styleId="Style1">
    <w:name w:val="Style1"/>
    <w:uiPriority w:val="99"/>
    <w:pPr>
      <w:numPr>
        <w:numId w:val="99"/>
      </w:numPr>
    </w:pPr>
  </w:style>
  <w:style w:type="paragraph" w:customStyle="1" w:styleId="titu1toc1">
    <w:name w:val="titu 1 toc 1"/>
    <w:basedOn w:val="Part1"/>
    <w:link w:val="titu1toc1Car"/>
    <w:qFormat/>
    <w:pPr>
      <w:spacing w:before="240"/>
    </w:pPr>
    <w:rPr>
      <w:szCs w:val="24"/>
    </w:rPr>
  </w:style>
  <w:style w:type="paragraph" w:customStyle="1" w:styleId="tit2toc1">
    <w:name w:val="tit2 toc 1"/>
    <w:basedOn w:val="SectionHeading"/>
    <w:link w:val="tit2toc1Car"/>
    <w:qFormat/>
  </w:style>
  <w:style w:type="paragraph" w:customStyle="1" w:styleId="Titulo1Toc2">
    <w:name w:val="Titulo 1 Toc 2"/>
    <w:basedOn w:val="Textoindependiente2"/>
    <w:link w:val="Titulo1Toc2Car"/>
    <w:qFormat/>
    <w:pPr>
      <w:numPr>
        <w:numId w:val="93"/>
      </w:numPr>
      <w:spacing w:before="0" w:after="200"/>
    </w:pPr>
    <w:rPr>
      <w:sz w:val="28"/>
      <w:szCs w:val="24"/>
    </w:rPr>
  </w:style>
  <w:style w:type="paragraph" w:customStyle="1" w:styleId="Titulo2Toc2">
    <w:name w:val="Titulo 2 Toc 2"/>
    <w:basedOn w:val="Sec1-ClausesAfter10pt1"/>
    <w:link w:val="Titulo2Toc2Car"/>
    <w:qFormat/>
  </w:style>
  <w:style w:type="paragraph" w:customStyle="1" w:styleId="Titulo1Toc3">
    <w:name w:val="Titulo 1 Toc 3"/>
    <w:basedOn w:val="SectionIIIHeading1"/>
    <w:link w:val="Titulo1Toc3Car"/>
    <w:qFormat/>
  </w:style>
  <w:style w:type="paragraph" w:customStyle="1" w:styleId="Titulo1Toc4">
    <w:name w:val="Titulo 1 Toc 4"/>
    <w:basedOn w:val="SectionVHeader"/>
    <w:link w:val="Titulo1Toc4Car"/>
    <w:qFormat/>
    <w:pPr>
      <w:spacing w:after="240"/>
    </w:pPr>
    <w:rPr>
      <w:sz w:val="32"/>
      <w:szCs w:val="24"/>
    </w:rPr>
  </w:style>
  <w:style w:type="paragraph" w:customStyle="1" w:styleId="Titulo1Toc5">
    <w:name w:val="Titulo 1 Toc 5"/>
    <w:basedOn w:val="SectionVIHeader0"/>
    <w:link w:val="Titulo1Toc5Car"/>
    <w:qFormat/>
    <w:rPr>
      <w:rFonts w:ascii="Arial" w:hAnsi="Arial"/>
    </w:rPr>
  </w:style>
  <w:style w:type="paragraph" w:customStyle="1" w:styleId="Titulo1TOC6">
    <w:name w:val="Titulo 1 TOC 6"/>
    <w:basedOn w:val="Sec8Clauses"/>
    <w:link w:val="Titulo1TOC6Car"/>
    <w:qFormat/>
  </w:style>
  <w:style w:type="paragraph" w:customStyle="1" w:styleId="Titulo1TOC7">
    <w:name w:val="Titulo 1 TOC 7"/>
    <w:basedOn w:val="SectionXHeading"/>
    <w:qFormat/>
  </w:style>
  <w:style w:type="paragraph" w:customStyle="1" w:styleId="tabla1titulos">
    <w:name w:val="tabla1 titulos"/>
    <w:basedOn w:val="titu1toc1"/>
    <w:link w:val="tabla1titulosCar"/>
    <w:qFormat/>
    <w:rPr>
      <w:bCs/>
      <w:lang w:val="es-ES"/>
    </w:rPr>
  </w:style>
  <w:style w:type="paragraph" w:customStyle="1" w:styleId="Tabla1Subtitulo">
    <w:name w:val="Tabla 1 Subtitulo"/>
    <w:basedOn w:val="tit2toc1"/>
    <w:link w:val="Tabla1SubtituloCar"/>
    <w:qFormat/>
    <w:rPr>
      <w:bCs/>
      <w:lang w:val="es-ES"/>
    </w:rPr>
  </w:style>
  <w:style w:type="character" w:customStyle="1" w:styleId="Part1Car">
    <w:name w:val="Part 1 Car"/>
    <w:aliases w:val="2 Car,3 Header 4 Car"/>
    <w:basedOn w:val="Fuentedeprrafopredeter"/>
    <w:link w:val="Part1"/>
    <w:rPr>
      <w:b/>
      <w:sz w:val="48"/>
    </w:rPr>
  </w:style>
  <w:style w:type="character" w:customStyle="1" w:styleId="titu1toc1Car">
    <w:name w:val="titu 1 toc 1 Car"/>
    <w:basedOn w:val="Part1Car"/>
    <w:link w:val="titu1toc1"/>
    <w:rPr>
      <w:b/>
      <w:sz w:val="48"/>
      <w:szCs w:val="24"/>
    </w:rPr>
  </w:style>
  <w:style w:type="character" w:customStyle="1" w:styleId="tabla1titulosCar">
    <w:name w:val="tabla1 titulos Car"/>
    <w:basedOn w:val="titu1toc1Car"/>
    <w:link w:val="tabla1titulos"/>
    <w:rPr>
      <w:b/>
      <w:bCs/>
      <w:sz w:val="48"/>
      <w:szCs w:val="24"/>
      <w:lang w:val="es-ES"/>
    </w:rPr>
  </w:style>
  <w:style w:type="paragraph" w:customStyle="1" w:styleId="Tabla2Titulo">
    <w:name w:val="Tabla 2 Titulo"/>
    <w:basedOn w:val="Titulo1Toc2"/>
    <w:link w:val="Tabla2TituloCar"/>
    <w:qFormat/>
    <w:rPr>
      <w:bCs/>
      <w:lang w:val="es-ES"/>
    </w:rPr>
  </w:style>
  <w:style w:type="character" w:customStyle="1" w:styleId="SectionIIIHeading1Car">
    <w:name w:val="Section III Heading 1 Car"/>
    <w:basedOn w:val="Fuentedeprrafopredeter"/>
    <w:link w:val="SectionIIIHeading1"/>
    <w:rPr>
      <w:b/>
      <w:sz w:val="24"/>
      <w:szCs w:val="24"/>
    </w:rPr>
  </w:style>
  <w:style w:type="character" w:customStyle="1" w:styleId="SectionHeadingCar">
    <w:name w:val="Section Heading Car"/>
    <w:basedOn w:val="SectionIIIHeading1Car"/>
    <w:link w:val="SectionHeading"/>
    <w:rPr>
      <w:b/>
      <w:sz w:val="44"/>
      <w:szCs w:val="24"/>
    </w:rPr>
  </w:style>
  <w:style w:type="character" w:customStyle="1" w:styleId="tit2toc1Car">
    <w:name w:val="tit2 toc 1 Car"/>
    <w:basedOn w:val="SectionHeadingCar"/>
    <w:link w:val="tit2toc1"/>
    <w:rPr>
      <w:b/>
      <w:sz w:val="44"/>
      <w:szCs w:val="24"/>
    </w:rPr>
  </w:style>
  <w:style w:type="character" w:customStyle="1" w:styleId="Tabla1SubtituloCar">
    <w:name w:val="Tabla 1 Subtitulo Car"/>
    <w:basedOn w:val="tit2toc1Car"/>
    <w:link w:val="Tabla1Subtitulo"/>
    <w:rPr>
      <w:b/>
      <w:bCs/>
      <w:sz w:val="44"/>
      <w:szCs w:val="24"/>
      <w:lang w:val="es-ES"/>
    </w:rPr>
  </w:style>
  <w:style w:type="paragraph" w:customStyle="1" w:styleId="Tabla2Subtitulos">
    <w:name w:val="Tabla 2 Subtitulos"/>
    <w:basedOn w:val="Titulo2Toc2"/>
    <w:link w:val="Tabla2SubtitulosCar"/>
    <w:qFormat/>
    <w:rPr>
      <w:lang w:val="es-ES"/>
    </w:rPr>
  </w:style>
  <w:style w:type="character" w:customStyle="1" w:styleId="Titulo1Toc2Car">
    <w:name w:val="Titulo 1 Toc 2 Car"/>
    <w:basedOn w:val="BodyText2Char"/>
    <w:link w:val="Titulo1Toc2"/>
    <w:rPr>
      <w:rFonts w:ascii="Arial" w:hAnsi="Arial"/>
      <w:b/>
      <w:sz w:val="28"/>
      <w:szCs w:val="24"/>
      <w:lang w:val="en-US" w:eastAsia="en-US" w:bidi="ar-SA"/>
    </w:rPr>
  </w:style>
  <w:style w:type="character" w:customStyle="1" w:styleId="Tabla2TituloCar">
    <w:name w:val="Tabla 2 Titulo Car"/>
    <w:basedOn w:val="Titulo1Toc2Car"/>
    <w:link w:val="Tabla2Titulo"/>
    <w:rPr>
      <w:rFonts w:ascii="Arial" w:hAnsi="Arial"/>
      <w:b/>
      <w:bCs/>
      <w:sz w:val="28"/>
      <w:szCs w:val="24"/>
      <w:lang w:val="es-ES" w:eastAsia="en-US" w:bidi="ar-SA"/>
    </w:rPr>
  </w:style>
  <w:style w:type="paragraph" w:customStyle="1" w:styleId="Tabla3titulo">
    <w:name w:val="Tabla3 titulo"/>
    <w:basedOn w:val="Titulo1Toc3"/>
    <w:link w:val="Tabla3tituloCar"/>
    <w:qFormat/>
    <w:rPr>
      <w:bCs/>
      <w:lang w:val="es-ES"/>
    </w:rPr>
  </w:style>
  <w:style w:type="character" w:customStyle="1" w:styleId="Heading1-ClausenameCar">
    <w:name w:val="Heading 1- Clause name Car"/>
    <w:basedOn w:val="Fuentedeprrafopredeter"/>
    <w:link w:val="Heading1-Clausename"/>
    <w:rPr>
      <w:b/>
      <w:sz w:val="24"/>
      <w:szCs w:val="24"/>
    </w:rPr>
  </w:style>
  <w:style w:type="character" w:customStyle="1" w:styleId="Sec1-ClausesCar">
    <w:name w:val="Sec1-Clauses Car"/>
    <w:basedOn w:val="Heading1-ClausenameCar"/>
    <w:link w:val="Sec1-Clauses"/>
    <w:rPr>
      <w:b/>
      <w:sz w:val="24"/>
      <w:szCs w:val="24"/>
    </w:rPr>
  </w:style>
  <w:style w:type="character" w:customStyle="1" w:styleId="Sec1-ClausesAfter10pt1Car">
    <w:name w:val="Sec1-Clauses + After:  10 pt1 Car"/>
    <w:basedOn w:val="Sec1-ClausesCar"/>
    <w:link w:val="Sec1-ClausesAfter10pt1"/>
    <w:rPr>
      <w:b/>
      <w:bCs/>
      <w:sz w:val="24"/>
      <w:szCs w:val="24"/>
    </w:rPr>
  </w:style>
  <w:style w:type="character" w:customStyle="1" w:styleId="Titulo2Toc2Car">
    <w:name w:val="Titulo 2 Toc 2 Car"/>
    <w:basedOn w:val="Sec1-ClausesAfter10pt1Car"/>
    <w:link w:val="Titulo2Toc2"/>
    <w:rPr>
      <w:b/>
      <w:bCs/>
      <w:sz w:val="24"/>
      <w:szCs w:val="24"/>
    </w:rPr>
  </w:style>
  <w:style w:type="character" w:customStyle="1" w:styleId="Tabla2SubtitulosCar">
    <w:name w:val="Tabla 2 Subtitulos Car"/>
    <w:basedOn w:val="Titulo2Toc2Car"/>
    <w:link w:val="Tabla2Subtitulos"/>
    <w:rPr>
      <w:b/>
      <w:bCs/>
      <w:sz w:val="24"/>
      <w:szCs w:val="24"/>
      <w:lang w:val="es-ES"/>
    </w:rPr>
  </w:style>
  <w:style w:type="paragraph" w:customStyle="1" w:styleId="Tanla4titulo">
    <w:name w:val="Tanla4 titulo"/>
    <w:basedOn w:val="Titulo1Toc4"/>
    <w:link w:val="Tanla4tituloCar"/>
    <w:qFormat/>
    <w:rPr>
      <w:bCs/>
      <w:lang w:val="es-ES"/>
    </w:rPr>
  </w:style>
  <w:style w:type="character" w:customStyle="1" w:styleId="Titulo1Toc3Car">
    <w:name w:val="Titulo 1 Toc 3 Car"/>
    <w:basedOn w:val="SectionIIIHeading1Car"/>
    <w:link w:val="Titulo1Toc3"/>
    <w:rPr>
      <w:b/>
      <w:sz w:val="24"/>
      <w:szCs w:val="24"/>
    </w:rPr>
  </w:style>
  <w:style w:type="character" w:customStyle="1" w:styleId="Tabla3tituloCar">
    <w:name w:val="Tabla3 titulo Car"/>
    <w:basedOn w:val="Titulo1Toc3Car"/>
    <w:link w:val="Tabla3titulo"/>
    <w:rPr>
      <w:b/>
      <w:bCs/>
      <w:sz w:val="24"/>
      <w:szCs w:val="24"/>
      <w:lang w:val="es-ES"/>
    </w:rPr>
  </w:style>
  <w:style w:type="paragraph" w:customStyle="1" w:styleId="Tabla6titulo">
    <w:name w:val="Tabla6 titulo"/>
    <w:basedOn w:val="Titulo1Toc5"/>
    <w:link w:val="Tabla6tituloCar"/>
    <w:qFormat/>
    <w:rPr>
      <w:bCs/>
      <w:lang w:val="es-ES"/>
    </w:rPr>
  </w:style>
  <w:style w:type="character" w:customStyle="1" w:styleId="Titulo1Toc4Car">
    <w:name w:val="Titulo 1 Toc 4 Car"/>
    <w:basedOn w:val="SectionVHeaderCar"/>
    <w:link w:val="Titulo1Toc4"/>
    <w:rPr>
      <w:rFonts w:ascii="Arial" w:hAnsi="Arial"/>
      <w:b/>
      <w:sz w:val="32"/>
      <w:szCs w:val="24"/>
      <w:lang w:val="es-ES_tradnl"/>
    </w:rPr>
  </w:style>
  <w:style w:type="character" w:customStyle="1" w:styleId="Tanla4tituloCar">
    <w:name w:val="Tanla4 titulo Car"/>
    <w:basedOn w:val="Titulo1Toc4Car"/>
    <w:link w:val="Tanla4titulo"/>
    <w:rPr>
      <w:rFonts w:ascii="Arial" w:hAnsi="Arial"/>
      <w:b/>
      <w:bCs/>
      <w:sz w:val="32"/>
      <w:szCs w:val="24"/>
      <w:lang w:val="es-ES"/>
    </w:rPr>
  </w:style>
  <w:style w:type="paragraph" w:customStyle="1" w:styleId="Tabla7Titulos">
    <w:name w:val="Tabla7 Titulos"/>
    <w:basedOn w:val="Titulo1TOC6"/>
    <w:link w:val="Tabla7TitulosCar"/>
    <w:qFormat/>
    <w:rPr>
      <w:lang w:val="es-ES"/>
    </w:rPr>
  </w:style>
  <w:style w:type="character" w:customStyle="1" w:styleId="SectionVIHeaderCar">
    <w:name w:val="Section VI. Header Car"/>
    <w:basedOn w:val="SectionVHeaderCar"/>
    <w:link w:val="SectionVIHeader0"/>
    <w:rPr>
      <w:rFonts w:ascii="Arial" w:hAnsi="Arial"/>
      <w:b/>
      <w:sz w:val="36"/>
      <w:szCs w:val="24"/>
      <w:lang w:val="es-ES_tradnl"/>
    </w:rPr>
  </w:style>
  <w:style w:type="character" w:customStyle="1" w:styleId="Titulo1Toc5Car">
    <w:name w:val="Titulo 1 Toc 5 Car"/>
    <w:basedOn w:val="SectionVIHeaderCar"/>
    <w:link w:val="Titulo1Toc5"/>
    <w:rPr>
      <w:rFonts w:ascii="Arial" w:hAnsi="Arial"/>
      <w:b/>
      <w:sz w:val="36"/>
      <w:szCs w:val="24"/>
      <w:lang w:val="es-ES_tradnl"/>
    </w:rPr>
  </w:style>
  <w:style w:type="character" w:customStyle="1" w:styleId="Tabla6tituloCar">
    <w:name w:val="Tabla6 titulo Car"/>
    <w:basedOn w:val="Titulo1Toc5Car"/>
    <w:link w:val="Tabla6titulo"/>
    <w:rPr>
      <w:rFonts w:ascii="Arial" w:hAnsi="Arial"/>
      <w:b/>
      <w:bCs/>
      <w:sz w:val="36"/>
      <w:szCs w:val="24"/>
      <w:lang w:val="es-ES"/>
    </w:rPr>
  </w:style>
  <w:style w:type="paragraph" w:customStyle="1" w:styleId="Tabla8titulo">
    <w:name w:val="Tabla8 titulo"/>
    <w:basedOn w:val="S9Header"/>
    <w:link w:val="Tabla8tituloCar"/>
    <w:qFormat/>
    <w:rPr>
      <w:lang w:val="es-ES"/>
    </w:rPr>
  </w:style>
  <w:style w:type="character" w:customStyle="1" w:styleId="Sec8ClausesCar">
    <w:name w:val="Sec 8 Clauses Car"/>
    <w:basedOn w:val="Sec1-ClausesAfter10pt1Car"/>
    <w:link w:val="Sec8Clauses"/>
    <w:rPr>
      <w:b/>
      <w:bCs/>
      <w:sz w:val="24"/>
      <w:szCs w:val="24"/>
    </w:rPr>
  </w:style>
  <w:style w:type="character" w:customStyle="1" w:styleId="Titulo1TOC6Car">
    <w:name w:val="Titulo 1 TOC 6 Car"/>
    <w:basedOn w:val="Sec8ClausesCar"/>
    <w:link w:val="Titulo1TOC6"/>
    <w:rPr>
      <w:b/>
      <w:bCs/>
      <w:sz w:val="24"/>
      <w:szCs w:val="24"/>
    </w:rPr>
  </w:style>
  <w:style w:type="character" w:customStyle="1" w:styleId="Tabla7TitulosCar">
    <w:name w:val="Tabla7 Titulos Car"/>
    <w:basedOn w:val="Titulo1TOC6Car"/>
    <w:link w:val="Tabla7Titulos"/>
    <w:rPr>
      <w:b/>
      <w:bCs/>
      <w:sz w:val="24"/>
      <w:szCs w:val="24"/>
      <w:lang w:val="es-ES"/>
    </w:rPr>
  </w:style>
  <w:style w:type="character" w:customStyle="1" w:styleId="S9HeaderCar">
    <w:name w:val="S9 Header Car"/>
    <w:basedOn w:val="Fuentedeprrafopredeter"/>
    <w:link w:val="S9Header"/>
    <w:rPr>
      <w:b/>
      <w:sz w:val="36"/>
      <w:szCs w:val="24"/>
    </w:rPr>
  </w:style>
  <w:style w:type="character" w:customStyle="1" w:styleId="Tabla8tituloCar">
    <w:name w:val="Tabla8 titulo Car"/>
    <w:basedOn w:val="S9HeaderCar"/>
    <w:link w:val="Tabla8titulo"/>
    <w:rPr>
      <w:b/>
      <w:sz w:val="36"/>
      <w:szCs w:val="24"/>
      <w:lang w:val="es-ES"/>
    </w:rPr>
  </w:style>
  <w:style w:type="character" w:customStyle="1" w:styleId="UnresolvedMention">
    <w:name w:val="Unresolved Mention"/>
    <w:basedOn w:val="Fuentedeprrafopredeter"/>
    <w:uiPriority w:val="99"/>
    <w:semiHidden/>
    <w:unhideWhenUsed/>
    <w:rPr>
      <w:color w:val="605E5C"/>
      <w:shd w:val="clear" w:color="auto" w:fill="E1DFDD"/>
    </w:rPr>
  </w:style>
  <w:style w:type="paragraph" w:customStyle="1" w:styleId="DatosdelProceso">
    <w:name w:val="Datos del Proceso"/>
    <w:basedOn w:val="Ttulo"/>
    <w:link w:val="DatosdelProcesoCar"/>
    <w:qFormat/>
    <w:pPr>
      <w:suppressAutoHyphens/>
      <w:ind w:right="-540"/>
      <w:jc w:val="both"/>
      <w:outlineLvl w:val="0"/>
    </w:pPr>
    <w:rPr>
      <w:rFonts w:ascii="Century Gothic" w:hAnsi="Century Gothic"/>
      <w:snapToGrid w:val="0"/>
      <w:color w:val="000000"/>
      <w:spacing w:val="14"/>
      <w:sz w:val="22"/>
      <w:szCs w:val="22"/>
      <w:lang w:val="es-ES_tradnl"/>
    </w:rPr>
  </w:style>
  <w:style w:type="character" w:customStyle="1" w:styleId="DatosdelProcesoCar">
    <w:name w:val="Datos del Proceso Car"/>
    <w:basedOn w:val="TtuloCar"/>
    <w:link w:val="DatosdelProceso"/>
    <w:rPr>
      <w:rFonts w:ascii="Century Gothic" w:hAnsi="Century Gothic"/>
      <w:b/>
      <w:snapToGrid w:val="0"/>
      <w:color w:val="000000"/>
      <w:spacing w:val="14"/>
      <w:sz w:val="22"/>
      <w:szCs w:val="22"/>
      <w:lang w:val="es-ES_tradnl"/>
    </w:rPr>
  </w:style>
  <w:style w:type="paragraph" w:customStyle="1" w:styleId="Secciones">
    <w:name w:val="Secciones"/>
    <w:basedOn w:val="Ttulo1"/>
    <w:link w:val="SeccionesCar"/>
    <w:qFormat/>
    <w:pPr>
      <w:tabs>
        <w:tab w:val="clear" w:pos="1422"/>
      </w:tabs>
      <w:suppressAutoHyphens/>
      <w:spacing w:after="120"/>
      <w:ind w:left="0"/>
      <w:jc w:val="center"/>
    </w:pPr>
    <w:rPr>
      <w:rFonts w:ascii="Century Gothic" w:hAnsi="Century Gothic" w:cs="Times New Roman"/>
      <w:spacing w:val="-5"/>
      <w:sz w:val="22"/>
      <w:lang w:val="es-ES_tradnl"/>
    </w:rPr>
  </w:style>
  <w:style w:type="character" w:customStyle="1" w:styleId="SeccionesCar">
    <w:name w:val="Secciones Car"/>
    <w:basedOn w:val="Fuentedeprrafopredeter"/>
    <w:link w:val="Secciones"/>
    <w:rPr>
      <w:rFonts w:ascii="Century Gothic" w:hAnsi="Century Gothic"/>
      <w:b/>
      <w:spacing w:val="-5"/>
      <w:sz w:val="22"/>
      <w:szCs w:val="24"/>
      <w:lang w:val="es-ES_tradnl"/>
    </w:rPr>
  </w:style>
  <w:style w:type="paragraph" w:customStyle="1" w:styleId="IAOs">
    <w:name w:val="IAO´s"/>
    <w:basedOn w:val="Aheader2DCIAO"/>
    <w:link w:val="IAOsCar"/>
    <w:qFormat/>
    <w:rPr>
      <w:rFonts w:ascii="Century Gothic" w:hAnsi="Century Gothic"/>
      <w:sz w:val="22"/>
    </w:rPr>
  </w:style>
  <w:style w:type="character" w:customStyle="1" w:styleId="S1-Header2Car">
    <w:name w:val="S1-Header2 Car"/>
    <w:basedOn w:val="Fuentedeprrafopredeter"/>
    <w:link w:val="S1-Header2"/>
    <w:rPr>
      <w:b/>
      <w:sz w:val="24"/>
      <w:szCs w:val="24"/>
    </w:rPr>
  </w:style>
  <w:style w:type="character" w:customStyle="1" w:styleId="Aheader2DCIAOCar">
    <w:name w:val="Aheader2DCIAO Car"/>
    <w:basedOn w:val="S1-Header2Car"/>
    <w:link w:val="Aheader2DCIAO"/>
    <w:rPr>
      <w:b/>
      <w:sz w:val="24"/>
      <w:szCs w:val="24"/>
      <w:lang w:val="es-ES"/>
    </w:rPr>
  </w:style>
  <w:style w:type="character" w:customStyle="1" w:styleId="IAOsCar">
    <w:name w:val="IAO´s Car"/>
    <w:basedOn w:val="Aheader2DCIAOCar"/>
    <w:link w:val="IAOs"/>
    <w:rPr>
      <w:rFonts w:ascii="Century Gothic" w:hAnsi="Century Gothic"/>
      <w:b/>
      <w:sz w:val="22"/>
      <w:szCs w:val="24"/>
      <w:lang w:val="es-ES"/>
    </w:rPr>
  </w:style>
  <w:style w:type="paragraph" w:customStyle="1" w:styleId="Subsecciones">
    <w:name w:val="Subsecciones"/>
    <w:basedOn w:val="Aheader1DCIAO"/>
    <w:link w:val="SubseccionesCar"/>
    <w:qFormat/>
    <w:rPr>
      <w:rFonts w:ascii="Century Gothic" w:hAnsi="Century Gothic"/>
      <w:sz w:val="22"/>
    </w:rPr>
  </w:style>
  <w:style w:type="character" w:customStyle="1" w:styleId="S1-Header1Car">
    <w:name w:val="S1-Header1 Car"/>
    <w:basedOn w:val="Fuentedeprrafopredeter"/>
    <w:link w:val="S1-Header1"/>
    <w:rPr>
      <w:b/>
      <w:sz w:val="28"/>
      <w:szCs w:val="24"/>
    </w:rPr>
  </w:style>
  <w:style w:type="character" w:customStyle="1" w:styleId="StyleS1-Header1TimesNewRoman14ptCar">
    <w:name w:val="Style S1-Header1 + Times New Roman 14 pt Car"/>
    <w:basedOn w:val="S1-Header1Car"/>
    <w:link w:val="StyleS1-Header1TimesNewRoman14pt"/>
    <w:rPr>
      <w:b/>
      <w:bCs/>
      <w:sz w:val="28"/>
      <w:szCs w:val="24"/>
    </w:rPr>
  </w:style>
  <w:style w:type="character" w:customStyle="1" w:styleId="StyleStyleS1-Header1TimesNewRoman14pt1Car">
    <w:name w:val="Style Style S1-Header1 + Times New Roman 14 pt +1 Car"/>
    <w:basedOn w:val="StyleS1-Header1TimesNewRoman14ptCar"/>
    <w:link w:val="StyleStyleS1-Header1TimesNewRoman14pt1"/>
    <w:rPr>
      <w:b/>
      <w:bCs/>
      <w:sz w:val="28"/>
      <w:szCs w:val="24"/>
    </w:rPr>
  </w:style>
  <w:style w:type="character" w:customStyle="1" w:styleId="Aheader1DCIAOCar">
    <w:name w:val="Aheader1DCIAO Car"/>
    <w:basedOn w:val="StyleStyleS1-Header1TimesNewRoman14pt1Car"/>
    <w:link w:val="Aheader1DCIAO"/>
    <w:rPr>
      <w:b/>
      <w:bCs/>
      <w:sz w:val="28"/>
      <w:szCs w:val="24"/>
      <w:lang w:val="es-ES"/>
    </w:rPr>
  </w:style>
  <w:style w:type="character" w:customStyle="1" w:styleId="SubseccionesCar">
    <w:name w:val="Subsecciones Car"/>
    <w:basedOn w:val="Aheader1DCIAOCar"/>
    <w:link w:val="Subsecciones"/>
    <w:rPr>
      <w:rFonts w:ascii="Century Gothic" w:hAnsi="Century Gothic"/>
      <w:b/>
      <w:bCs/>
      <w:sz w:val="22"/>
      <w:szCs w:val="24"/>
      <w:lang w:val="es-ES"/>
    </w:rPr>
  </w:style>
  <w:style w:type="paragraph" w:customStyle="1" w:styleId="Estilo3">
    <w:name w:val="Estilo3"/>
    <w:basedOn w:val="Secciones"/>
    <w:link w:val="Estilo3Car"/>
    <w:qFormat/>
  </w:style>
  <w:style w:type="character" w:customStyle="1" w:styleId="Estilo3Car">
    <w:name w:val="Estilo3 Car"/>
    <w:basedOn w:val="SeccionesCar"/>
    <w:link w:val="Estilo3"/>
    <w:rPr>
      <w:rFonts w:ascii="Century Gothic" w:hAnsi="Century Gothic"/>
      <w:b/>
      <w:spacing w:val="-5"/>
      <w:sz w:val="22"/>
      <w:szCs w:val="24"/>
      <w:lang w:val="es-ES_tradnl"/>
    </w:rPr>
  </w:style>
  <w:style w:type="paragraph" w:customStyle="1" w:styleId="Partes">
    <w:name w:val="Partes"/>
    <w:basedOn w:val="Estilo3"/>
    <w:link w:val="PartesCar"/>
    <w:qFormat/>
  </w:style>
  <w:style w:type="character" w:customStyle="1" w:styleId="PartesCar">
    <w:name w:val="Partes Car"/>
    <w:basedOn w:val="Estilo3Car"/>
    <w:link w:val="Partes"/>
    <w:rPr>
      <w:rFonts w:ascii="Century Gothic" w:hAnsi="Century Gothic"/>
      <w:b/>
      <w:spacing w:val="-5"/>
      <w:sz w:val="22"/>
      <w:szCs w:val="24"/>
      <w:lang w:val="es-ES_tradnl"/>
    </w:rPr>
  </w:style>
  <w:style w:type="paragraph" w:customStyle="1" w:styleId="SubseccionesDDL">
    <w:name w:val="Subsecciones DDL"/>
    <w:basedOn w:val="Normal"/>
    <w:link w:val="SubseccionesDDLCar"/>
    <w:qFormat/>
    <w:pPr>
      <w:spacing w:before="60" w:after="60"/>
      <w:jc w:val="center"/>
    </w:pPr>
    <w:rPr>
      <w:rFonts w:ascii="Century Gothic" w:hAnsi="Century Gothic"/>
      <w:b/>
      <w:sz w:val="22"/>
      <w:szCs w:val="22"/>
      <w:lang w:val="es-ES"/>
    </w:rPr>
  </w:style>
  <w:style w:type="character" w:customStyle="1" w:styleId="SubseccionesDDLCar">
    <w:name w:val="Subsecciones DDL Car"/>
    <w:basedOn w:val="Fuentedeprrafopredeter"/>
    <w:link w:val="SubseccionesDDL"/>
    <w:rPr>
      <w:rFonts w:ascii="Century Gothic" w:hAnsi="Century Gothic"/>
      <w:b/>
      <w:sz w:val="22"/>
      <w:szCs w:val="22"/>
      <w:lang w:val="es-ES"/>
    </w:rPr>
  </w:style>
  <w:style w:type="paragraph" w:customStyle="1" w:styleId="Formularios">
    <w:name w:val="Formularios"/>
    <w:basedOn w:val="Ttulo5"/>
    <w:link w:val="FormulariosCar"/>
    <w:qFormat/>
    <w:pPr>
      <w:jc w:val="center"/>
    </w:pPr>
    <w:rPr>
      <w:rFonts w:ascii="Century Gothic" w:hAnsi="Century Gothic"/>
      <w:sz w:val="22"/>
      <w:szCs w:val="22"/>
      <w:lang w:val="es-ES"/>
    </w:rPr>
  </w:style>
  <w:style w:type="character" w:customStyle="1" w:styleId="FormulariosCar">
    <w:name w:val="Formularios Car"/>
    <w:basedOn w:val="Ttulo5Car"/>
    <w:link w:val="Formularios"/>
    <w:rPr>
      <w:rFonts w:ascii="Century Gothic" w:hAnsi="Century Gothic" w:cs="Arial"/>
      <w:b/>
      <w:bCs/>
      <w:iCs/>
      <w:spacing w:val="-2"/>
      <w:sz w:val="22"/>
      <w:szCs w:val="22"/>
      <w:lang w:val="es-ES"/>
    </w:rPr>
  </w:style>
  <w:style w:type="paragraph" w:customStyle="1" w:styleId="Requisitos">
    <w:name w:val="Requisitos"/>
    <w:basedOn w:val="S6-Header1"/>
    <w:link w:val="RequisitosCar"/>
    <w:qFormat/>
    <w:rPr>
      <w:rFonts w:ascii="Century Gothic" w:hAnsi="Century Gothic" w:cs="Times New Roman"/>
      <w:sz w:val="22"/>
      <w:szCs w:val="22"/>
      <w:lang w:val="es-ES"/>
    </w:rPr>
  </w:style>
  <w:style w:type="character" w:customStyle="1" w:styleId="S6-Header1Car">
    <w:name w:val="S6-Header 1 Car"/>
    <w:basedOn w:val="Fuentedeprrafopredeter"/>
    <w:link w:val="S6-Header1"/>
    <w:rPr>
      <w:rFonts w:cs="Arial"/>
      <w:b/>
      <w:sz w:val="32"/>
      <w:szCs w:val="24"/>
    </w:rPr>
  </w:style>
  <w:style w:type="character" w:customStyle="1" w:styleId="RequisitosCar">
    <w:name w:val="Requisitos Car"/>
    <w:basedOn w:val="S6-Header1Car"/>
    <w:link w:val="Requisitos"/>
    <w:rPr>
      <w:rFonts w:ascii="Century Gothic" w:hAnsi="Century Gothic" w:cs="Arial"/>
      <w:b/>
      <w:sz w:val="22"/>
      <w:szCs w:val="22"/>
      <w:lang w:val="es-ES"/>
    </w:rPr>
  </w:style>
  <w:style w:type="paragraph" w:customStyle="1" w:styleId="CGCONTRATO">
    <w:name w:val="CG CONTRATO"/>
    <w:basedOn w:val="Normal"/>
    <w:link w:val="CGCONTRATOCar"/>
    <w:qFormat/>
    <w:pPr>
      <w:keepNext/>
      <w:keepLines/>
      <w:numPr>
        <w:numId w:val="105"/>
      </w:numPr>
      <w:spacing w:before="240"/>
      <w:outlineLvl w:val="1"/>
    </w:pPr>
    <w:rPr>
      <w:rFonts w:ascii="Century Gothic" w:hAnsi="Century Gothic"/>
      <w:b/>
      <w:sz w:val="22"/>
      <w:szCs w:val="22"/>
      <w:lang w:val="es-ES"/>
    </w:rPr>
  </w:style>
  <w:style w:type="character" w:customStyle="1" w:styleId="CGCONTRATOCar">
    <w:name w:val="CG CONTRATO Car"/>
    <w:basedOn w:val="Fuentedeprrafopredeter"/>
    <w:link w:val="CGCONTRATO"/>
    <w:rPr>
      <w:rFonts w:ascii="Century Gothic" w:hAnsi="Century Gothic"/>
      <w:b/>
      <w:sz w:val="22"/>
      <w:szCs w:val="22"/>
      <w:lang w:val="es-ES"/>
    </w:rPr>
  </w:style>
  <w:style w:type="paragraph" w:customStyle="1" w:styleId="FormCGC">
    <w:name w:val="FormCGC"/>
    <w:basedOn w:val="Head02"/>
    <w:link w:val="FormCGCCar"/>
    <w:qFormat/>
    <w:rPr>
      <w:rFonts w:ascii="Century Gothic" w:hAnsi="Century Gothic"/>
      <w:sz w:val="22"/>
      <w:szCs w:val="22"/>
      <w:lang w:val="es-ES"/>
    </w:rPr>
  </w:style>
  <w:style w:type="character" w:customStyle="1" w:styleId="FormCGCCar">
    <w:name w:val="FormCGC Car"/>
    <w:basedOn w:val="Head02Char"/>
    <w:link w:val="FormCGC"/>
    <w:rPr>
      <w:rFonts w:ascii="Century Gothic" w:hAnsi="Century Gothic" w:cs="Arial"/>
      <w:b/>
      <w:smallCaps/>
      <w:sz w:val="22"/>
      <w:szCs w:val="22"/>
      <w:lang w:val="es-ES"/>
    </w:rPr>
  </w:style>
  <w:style w:type="paragraph" w:customStyle="1" w:styleId="NotasPie">
    <w:name w:val="NotasPie"/>
    <w:basedOn w:val="Textonotapie"/>
    <w:link w:val="NotasPieCar"/>
    <w:qFormat/>
    <w:pPr>
      <w:jc w:val="both"/>
    </w:pPr>
    <w:rPr>
      <w:rFonts w:ascii="Century Gothic" w:hAnsi="Century Gothic"/>
      <w:color w:val="0070C0"/>
      <w:sz w:val="14"/>
      <w:szCs w:val="14"/>
      <w:lang w:val="es-ES"/>
    </w:rPr>
  </w:style>
  <w:style w:type="character" w:customStyle="1" w:styleId="NotasPieCar">
    <w:name w:val="NotasPie Car"/>
    <w:basedOn w:val="TextonotapieCar"/>
    <w:link w:val="NotasPie"/>
    <w:rPr>
      <w:rFonts w:ascii="Century Gothic" w:hAnsi="Century Gothic"/>
      <w:color w:val="0070C0"/>
      <w:sz w:val="14"/>
      <w:szCs w:val="14"/>
      <w:lang w:val="es-ES"/>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9.xml"/><Relationship Id="rId21" Type="http://schemas.openxmlformats.org/officeDocument/2006/relationships/hyperlink" Target="http://www.iadb.org/integrity" TargetMode="External"/><Relationship Id="rId34" Type="http://schemas.openxmlformats.org/officeDocument/2006/relationships/header" Target="header14.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webSettings" Target="webSettings.xml"/><Relationship Id="rId24" Type="http://schemas.openxmlformats.org/officeDocument/2006/relationships/hyperlink" Target="mailto:profip@pge.gob.ec" TargetMode="External"/><Relationship Id="rId32" Type="http://schemas.openxmlformats.org/officeDocument/2006/relationships/footer" Target="footer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eader" Target="header6.xml"/><Relationship Id="rId31" Type="http://schemas.openxmlformats.org/officeDocument/2006/relationships/footer" Target="footer1.xml"/><Relationship Id="rId44" Type="http://schemas.openxmlformats.org/officeDocument/2006/relationships/header" Target="header24.xml"/><Relationship Id="rId52" Type="http://schemas.openxmlformats.org/officeDocument/2006/relationships/header" Target="header3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profip@pge.gob.ec" TargetMode="Externa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8" Type="http://schemas.openxmlformats.org/officeDocument/2006/relationships/numbering" Target="numbering.xml"/><Relationship Id="rId51" Type="http://schemas.openxmlformats.org/officeDocument/2006/relationships/header" Target="header3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6.xml"/><Relationship Id="rId20" Type="http://schemas.openxmlformats.org/officeDocument/2006/relationships/header" Target="header7.xml"/><Relationship Id="rId41" Type="http://schemas.openxmlformats.org/officeDocument/2006/relationships/header" Target="header21.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mailto:cesar.medina@pge.gob.ec" TargetMode="External"/><Relationship Id="rId28" Type="http://schemas.openxmlformats.org/officeDocument/2006/relationships/hyperlink" Target="https://www.bce.fin.ec/index.php/component/k2/item/260consulta-por-monedas-extranjeras" TargetMode="External"/><Relationship Id="rId36" Type="http://schemas.openxmlformats.org/officeDocument/2006/relationships/header" Target="header16.xml"/><Relationship Id="rId49" Type="http://schemas.openxmlformats.org/officeDocument/2006/relationships/header" Target="header29.xml"/></Relationships>
</file>

<file path=word/_rels/header2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545C569-3F14-474A-B97D-E901EFCF1665}"/>
      </w:docPartPr>
      <w:docPartBody>
        <w:p>
          <w:r>
            <w:rPr>
              <w:rStyle w:val="Textodelmarcadordeposicin"/>
            </w:rPr>
            <w:t>Elija un elemento.</w:t>
          </w:r>
        </w:p>
      </w:docPartBody>
    </w:docPart>
    <w:docPart>
      <w:docPartPr>
        <w:name w:val="48CFA1933B434C5896B8907C113D8A4C"/>
        <w:category>
          <w:name w:val="General"/>
          <w:gallery w:val="placeholder"/>
        </w:category>
        <w:types>
          <w:type w:val="bbPlcHdr"/>
        </w:types>
        <w:behaviors>
          <w:behavior w:val="content"/>
        </w:behaviors>
        <w:guid w:val="{6C26218C-B672-465B-B9D8-5DA43250B6B9}"/>
      </w:docPartPr>
      <w:docPartBody>
        <w:p>
          <w:pPr>
            <w:pStyle w:val="48CFA1933B434C5896B8907C113D8A4C"/>
          </w:pPr>
          <w:r>
            <w:rPr>
              <w:rStyle w:val="Textodelmarcadordeposicin"/>
            </w:rPr>
            <w:t>Haga clic aquí o pulse para escribir una fecha.</w:t>
          </w:r>
        </w:p>
      </w:docPartBody>
    </w:docPart>
    <w:docPart>
      <w:docPartPr>
        <w:name w:val="5642D3D6896D4B4BAAC43DA9A828A48F"/>
        <w:category>
          <w:name w:val="General"/>
          <w:gallery w:val="placeholder"/>
        </w:category>
        <w:types>
          <w:type w:val="bbPlcHdr"/>
        </w:types>
        <w:behaviors>
          <w:behavior w:val="content"/>
        </w:behaviors>
        <w:guid w:val="{15ADD07C-0DAB-4053-80E8-FDBBF0EF73CF}"/>
      </w:docPartPr>
      <w:docPartBody>
        <w:p>
          <w:pPr>
            <w:pStyle w:val="5642D3D6896D4B4BAAC43DA9A828A48F"/>
          </w:pPr>
          <w:r>
            <w:rPr>
              <w:rStyle w:val="Textodelmarcadordeposicin"/>
            </w:rPr>
            <w:t>Haga clic aquí o pulse para escribir una fecha.</w:t>
          </w:r>
        </w:p>
      </w:docPartBody>
    </w:docPart>
    <w:docPart>
      <w:docPartPr>
        <w:name w:val="46D280B960994E7FB16806062D7D1C37"/>
        <w:category>
          <w:name w:val="General"/>
          <w:gallery w:val="placeholder"/>
        </w:category>
        <w:types>
          <w:type w:val="bbPlcHdr"/>
        </w:types>
        <w:behaviors>
          <w:behavior w:val="content"/>
        </w:behaviors>
        <w:guid w:val="{1098A630-E1E1-4BF4-91FE-CB9B3ECE23AC}"/>
      </w:docPartPr>
      <w:docPartBody>
        <w:p>
          <w:pPr>
            <w:pStyle w:val="46D280B960994E7FB16806062D7D1C37"/>
          </w:pPr>
          <w:r>
            <w:rPr>
              <w:rStyle w:val="Textodelmarcadordeposicin"/>
            </w:rPr>
            <w:t>Haga clic aquí o pulse para escribir una fecha.</w:t>
          </w:r>
        </w:p>
      </w:docPartBody>
    </w:docPart>
    <w:docPart>
      <w:docPartPr>
        <w:name w:val="0A65600C165343908A1CB4CEB922D9BA"/>
        <w:category>
          <w:name w:val="General"/>
          <w:gallery w:val="placeholder"/>
        </w:category>
        <w:types>
          <w:type w:val="bbPlcHdr"/>
        </w:types>
        <w:behaviors>
          <w:behavior w:val="content"/>
        </w:behaviors>
        <w:guid w:val="{9C4FA232-0BAD-4FE2-B33B-C916E457D059}"/>
      </w:docPartPr>
      <w:docPartBody>
        <w:p>
          <w:pPr>
            <w:pStyle w:val="0A65600C165343908A1CB4CEB922D9BA"/>
          </w:pPr>
          <w:r>
            <w:rPr>
              <w:rStyle w:val="Textodelmarcadordeposicin"/>
            </w:rPr>
            <w:t>Haga clic aquí o pulse para escribir una fecha.</w:t>
          </w:r>
        </w:p>
      </w:docPartBody>
    </w:docPart>
    <w:docPart>
      <w:docPartPr>
        <w:name w:val="ED5EE55389F944D8BC8EC84DB3089278"/>
        <w:category>
          <w:name w:val="General"/>
          <w:gallery w:val="placeholder"/>
        </w:category>
        <w:types>
          <w:type w:val="bbPlcHdr"/>
        </w:types>
        <w:behaviors>
          <w:behavior w:val="content"/>
        </w:behaviors>
        <w:guid w:val="{9E7796F8-45A7-427D-AF34-CE3D41663E39}"/>
      </w:docPartPr>
      <w:docPartBody>
        <w:p>
          <w:pPr>
            <w:pStyle w:val="ED5EE55389F944D8BC8EC84DB3089278"/>
          </w:pPr>
          <w:r>
            <w:rPr>
              <w:rStyle w:val="Textodelmarcadordeposicin"/>
            </w:rPr>
            <w:t>Elija un elemento.</w:t>
          </w:r>
        </w:p>
      </w:docPartBody>
    </w:docPart>
    <w:docPart>
      <w:docPartPr>
        <w:name w:val="A4C6A4D7FA0140278A846D363B3425ED"/>
        <w:category>
          <w:name w:val="General"/>
          <w:gallery w:val="placeholder"/>
        </w:category>
        <w:types>
          <w:type w:val="bbPlcHdr"/>
        </w:types>
        <w:behaviors>
          <w:behavior w:val="content"/>
        </w:behaviors>
        <w:guid w:val="{0772071E-B356-480D-AD8A-E394FB267ECA}"/>
      </w:docPartPr>
      <w:docPartBody>
        <w:p>
          <w:pPr>
            <w:pStyle w:val="A4C6A4D7FA0140278A846D363B3425ED"/>
          </w:pPr>
          <w:r>
            <w:rPr>
              <w:rStyle w:val="Textodelmarcadordeposicin"/>
            </w:rPr>
            <w:t>Elija un elemento.</w:t>
          </w:r>
        </w:p>
      </w:docPartBody>
    </w:docPart>
    <w:docPart>
      <w:docPartPr>
        <w:name w:val="1FB4222E2B954DF4895056B596399A22"/>
        <w:category>
          <w:name w:val="General"/>
          <w:gallery w:val="placeholder"/>
        </w:category>
        <w:types>
          <w:type w:val="bbPlcHdr"/>
        </w:types>
        <w:behaviors>
          <w:behavior w:val="content"/>
        </w:behaviors>
        <w:guid w:val="{31C88726-BDD9-4751-A4EA-A3016E19ECB8}"/>
      </w:docPartPr>
      <w:docPartBody>
        <w:p>
          <w:pPr>
            <w:pStyle w:val="1FB4222E2B954DF4895056B596399A22"/>
          </w:pPr>
          <w:r>
            <w:rPr>
              <w:rStyle w:val="Textodelmarcadordeposicin"/>
            </w:rPr>
            <w:t>Elija un elemento.</w:t>
          </w:r>
        </w:p>
      </w:docPartBody>
    </w:docPart>
    <w:docPart>
      <w:docPartPr>
        <w:name w:val="0B76FF9B997C4F8EBB5F6691A1FC8372"/>
        <w:category>
          <w:name w:val="General"/>
          <w:gallery w:val="placeholder"/>
        </w:category>
        <w:types>
          <w:type w:val="bbPlcHdr"/>
        </w:types>
        <w:behaviors>
          <w:behavior w:val="content"/>
        </w:behaviors>
        <w:guid w:val="{A59347C6-56F5-4DF9-83BF-9E92826CC63C}"/>
      </w:docPartPr>
      <w:docPartBody>
        <w:p>
          <w:pPr>
            <w:pStyle w:val="0B76FF9B997C4F8EBB5F6691A1FC837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ourier">
    <w:panose1 w:val="02070409020205020404"/>
    <w:charset w:val="00"/>
    <w:family w:val="auto"/>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F71A404C9DD34C83834B2CBAE8C8A5C5">
    <w:name w:val="F71A404C9DD34C83834B2CBAE8C8A5C5"/>
  </w:style>
  <w:style w:type="paragraph" w:customStyle="1" w:styleId="4FC243DAAE954B7190619824D8E0A2CF">
    <w:name w:val="4FC243DAAE954B7190619824D8E0A2CF"/>
  </w:style>
  <w:style w:type="paragraph" w:customStyle="1" w:styleId="66F9ED812FDF40FB85643F8F2F617450">
    <w:name w:val="66F9ED812FDF40FB85643F8F2F617450"/>
  </w:style>
  <w:style w:type="paragraph" w:customStyle="1" w:styleId="555F380259924784B7B188F0BF5A172F">
    <w:name w:val="555F380259924784B7B188F0BF5A172F"/>
  </w:style>
  <w:style w:type="paragraph" w:customStyle="1" w:styleId="B182918EF88D4D209578F726D73B7BE3">
    <w:name w:val="B182918EF88D4D209578F726D73B7BE3"/>
  </w:style>
  <w:style w:type="paragraph" w:customStyle="1" w:styleId="62644B014270486CA349DC595F641D95">
    <w:name w:val="62644B014270486CA349DC595F641D95"/>
  </w:style>
  <w:style w:type="paragraph" w:customStyle="1" w:styleId="442095CDF3EA4E8F8D1F12E08DEC4ED9">
    <w:name w:val="442095CDF3EA4E8F8D1F12E08DEC4ED9"/>
  </w:style>
  <w:style w:type="paragraph" w:customStyle="1" w:styleId="6ADA4A5BEFEE4BE5A8FA324BFCF99C6F">
    <w:name w:val="6ADA4A5BEFEE4BE5A8FA324BFCF99C6F"/>
  </w:style>
  <w:style w:type="paragraph" w:customStyle="1" w:styleId="F259C6B9A0094A799E8AAF2AEA68C951">
    <w:name w:val="F259C6B9A0094A799E8AAF2AEA68C951"/>
  </w:style>
  <w:style w:type="paragraph" w:customStyle="1" w:styleId="C41103C3A3C24CFA9655C4A813CF3C76">
    <w:name w:val="C41103C3A3C24CFA9655C4A813CF3C76"/>
  </w:style>
  <w:style w:type="paragraph" w:customStyle="1" w:styleId="3EF6EC0CADCC488783175C1724FAB648">
    <w:name w:val="3EF6EC0CADCC488783175C1724FAB648"/>
  </w:style>
  <w:style w:type="paragraph" w:customStyle="1" w:styleId="8B545B332EB64F03A2CC2F2E0E10FAF3">
    <w:name w:val="8B545B332EB64F03A2CC2F2E0E10FAF3"/>
  </w:style>
  <w:style w:type="paragraph" w:customStyle="1" w:styleId="8194254C68A04C27B2F42D1C223665E2">
    <w:name w:val="8194254C68A04C27B2F42D1C223665E2"/>
  </w:style>
  <w:style w:type="paragraph" w:customStyle="1" w:styleId="740AB791186D4E4CB7023F3DBAA941BD">
    <w:name w:val="740AB791186D4E4CB7023F3DBAA941BD"/>
  </w:style>
  <w:style w:type="paragraph" w:customStyle="1" w:styleId="4C35496E111240B59BF552911C127543">
    <w:name w:val="4C35496E111240B59BF552911C127543"/>
  </w:style>
  <w:style w:type="paragraph" w:customStyle="1" w:styleId="1A274BC4DE66406A8CE0B32DECC8D8E2">
    <w:name w:val="1A274BC4DE66406A8CE0B32DECC8D8E2"/>
  </w:style>
  <w:style w:type="paragraph" w:customStyle="1" w:styleId="EC3CCF455F034D0E89AF9FCCF253174D">
    <w:name w:val="EC3CCF455F034D0E89AF9FCCF253174D"/>
  </w:style>
  <w:style w:type="paragraph" w:customStyle="1" w:styleId="D7DFEF04A722458D80AB9844E20F8917">
    <w:name w:val="D7DFEF04A722458D80AB9844E20F8917"/>
  </w:style>
  <w:style w:type="paragraph" w:customStyle="1" w:styleId="3DF5C6F0AC2E46BDA0731EFB6FF47F16">
    <w:name w:val="3DF5C6F0AC2E46BDA0731EFB6FF47F16"/>
  </w:style>
  <w:style w:type="paragraph" w:customStyle="1" w:styleId="D9C378FE4E0045A6A5833A027F449FAD">
    <w:name w:val="D9C378FE4E0045A6A5833A027F449FAD"/>
  </w:style>
  <w:style w:type="paragraph" w:customStyle="1" w:styleId="9F83C648C3E0417C89BE67F95D81E4F4">
    <w:name w:val="9F83C648C3E0417C89BE67F95D81E4F4"/>
  </w:style>
  <w:style w:type="paragraph" w:customStyle="1" w:styleId="8C47FCE3D090424187DCBBC539AC58D7">
    <w:name w:val="8C47FCE3D090424187DCBBC539AC58D7"/>
  </w:style>
  <w:style w:type="paragraph" w:customStyle="1" w:styleId="16E78F2EF1DC47CC925104BFC2EE2DFA">
    <w:name w:val="16E78F2EF1DC47CC925104BFC2EE2DFA"/>
  </w:style>
  <w:style w:type="paragraph" w:customStyle="1" w:styleId="09FA47D87DEC404E8D93855ACC7276A9">
    <w:name w:val="09FA47D87DEC404E8D93855ACC7276A9"/>
  </w:style>
  <w:style w:type="paragraph" w:customStyle="1" w:styleId="D60A23AE039149259EAD2662B3EFF56C">
    <w:name w:val="D60A23AE039149259EAD2662B3EFF56C"/>
  </w:style>
  <w:style w:type="paragraph" w:customStyle="1" w:styleId="9AD53062676147258424120E39AFD0F1">
    <w:name w:val="9AD53062676147258424120E39AFD0F1"/>
  </w:style>
  <w:style w:type="paragraph" w:customStyle="1" w:styleId="D5F53116030F4EBDBE00E9FBC1713704">
    <w:name w:val="D5F53116030F4EBDBE00E9FBC1713704"/>
  </w:style>
  <w:style w:type="paragraph" w:customStyle="1" w:styleId="DD859872F6C84BA8836659B95E0874A0">
    <w:name w:val="DD859872F6C84BA8836659B95E0874A0"/>
  </w:style>
  <w:style w:type="paragraph" w:customStyle="1" w:styleId="61477E7E13044CD28222A672A1084500">
    <w:name w:val="61477E7E13044CD28222A672A1084500"/>
  </w:style>
  <w:style w:type="paragraph" w:customStyle="1" w:styleId="58FCC3C04B1E45D3BA9C34DF4D0C75F2">
    <w:name w:val="58FCC3C04B1E45D3BA9C34DF4D0C75F2"/>
  </w:style>
  <w:style w:type="paragraph" w:customStyle="1" w:styleId="DB9AF5D744E548E082FB7B9D8FD04670">
    <w:name w:val="DB9AF5D744E548E082FB7B9D8FD04670"/>
  </w:style>
  <w:style w:type="paragraph" w:customStyle="1" w:styleId="24597FD7E11047F99180DC61028DA1FC">
    <w:name w:val="24597FD7E11047F99180DC61028DA1FC"/>
  </w:style>
  <w:style w:type="paragraph" w:customStyle="1" w:styleId="646336F8C04844F4B02B55769DE26525">
    <w:name w:val="646336F8C04844F4B02B55769DE26525"/>
  </w:style>
  <w:style w:type="paragraph" w:customStyle="1" w:styleId="D23B73DD1D4B430F9D2E7EDEA5E787F7">
    <w:name w:val="D23B73DD1D4B430F9D2E7EDEA5E787F7"/>
  </w:style>
  <w:style w:type="paragraph" w:customStyle="1" w:styleId="7E80EB2B0B83409BB312D2F068D7F06B">
    <w:name w:val="7E80EB2B0B83409BB312D2F068D7F06B"/>
  </w:style>
  <w:style w:type="paragraph" w:customStyle="1" w:styleId="C8BED2CD9C394EBBB2D22B39D11DAD9A">
    <w:name w:val="C8BED2CD9C394EBBB2D22B39D11DAD9A"/>
  </w:style>
  <w:style w:type="paragraph" w:customStyle="1" w:styleId="D7D3480329C24FA790EF86FB7D5FD9BF">
    <w:name w:val="D7D3480329C24FA790EF86FB7D5FD9BF"/>
  </w:style>
  <w:style w:type="paragraph" w:customStyle="1" w:styleId="86F575A868CB40E8AD73F8BC9AF232AE">
    <w:name w:val="86F575A868CB40E8AD73F8BC9AF232AE"/>
  </w:style>
  <w:style w:type="paragraph" w:customStyle="1" w:styleId="7407CC295A1949418E5A3F74A99D3CBC">
    <w:name w:val="7407CC295A1949418E5A3F74A99D3CBC"/>
  </w:style>
  <w:style w:type="paragraph" w:customStyle="1" w:styleId="B811BEDB8EB24DADAFD236D0D66FB297">
    <w:name w:val="B811BEDB8EB24DADAFD236D0D66FB297"/>
  </w:style>
  <w:style w:type="paragraph" w:customStyle="1" w:styleId="4D8EF8ACC91345CE805CC9A63D17BFBD">
    <w:name w:val="4D8EF8ACC91345CE805CC9A63D17BFBD"/>
  </w:style>
  <w:style w:type="paragraph" w:customStyle="1" w:styleId="48B6256620DD49BF80B9867759198666">
    <w:name w:val="48B6256620DD49BF80B9867759198666"/>
  </w:style>
  <w:style w:type="paragraph" w:customStyle="1" w:styleId="2FE1081EF0294566B706317D2DB0ED09">
    <w:name w:val="2FE1081EF0294566B706317D2DB0ED09"/>
  </w:style>
  <w:style w:type="paragraph" w:customStyle="1" w:styleId="528566F9864C4F98822A0E4E5E679415">
    <w:name w:val="528566F9864C4F98822A0E4E5E679415"/>
  </w:style>
  <w:style w:type="paragraph" w:customStyle="1" w:styleId="3DB4C1755A44478A9E6BDA636427393C">
    <w:name w:val="3DB4C1755A44478A9E6BDA636427393C"/>
  </w:style>
  <w:style w:type="paragraph" w:customStyle="1" w:styleId="037C5144EF9040859600CCA0E75BD867">
    <w:name w:val="037C5144EF9040859600CCA0E75BD867"/>
  </w:style>
  <w:style w:type="paragraph" w:customStyle="1" w:styleId="939D46B3A342413CBB53AE4C2270C9A3">
    <w:name w:val="939D46B3A342413CBB53AE4C2270C9A3"/>
  </w:style>
  <w:style w:type="paragraph" w:customStyle="1" w:styleId="BB9DA7C6144E40E892BB0F82CBAC795C">
    <w:name w:val="BB9DA7C6144E40E892BB0F82CBAC795C"/>
  </w:style>
  <w:style w:type="paragraph" w:customStyle="1" w:styleId="41AD2FE28A084B8D87070149976877AE">
    <w:name w:val="41AD2FE28A084B8D87070149976877AE"/>
  </w:style>
  <w:style w:type="paragraph" w:customStyle="1" w:styleId="E65ACEE0C13A4DDC98DF30AF4D63D793">
    <w:name w:val="E65ACEE0C13A4DDC98DF30AF4D63D793"/>
  </w:style>
  <w:style w:type="paragraph" w:customStyle="1" w:styleId="A67CC1C70B9749DF99CB7E64F198F020">
    <w:name w:val="A67CC1C70B9749DF99CB7E64F198F020"/>
  </w:style>
  <w:style w:type="paragraph" w:customStyle="1" w:styleId="FF648C1737C24D419A19BCB3FF55025D">
    <w:name w:val="FF648C1737C24D419A19BCB3FF55025D"/>
  </w:style>
  <w:style w:type="paragraph" w:customStyle="1" w:styleId="65796DAA650443248F15F8280ADD6365">
    <w:name w:val="65796DAA650443248F15F8280ADD6365"/>
  </w:style>
  <w:style w:type="paragraph" w:customStyle="1" w:styleId="EBEE82E7EFAD411CAD502D8BC390D705">
    <w:name w:val="EBEE82E7EFAD411CAD502D8BC390D705"/>
  </w:style>
  <w:style w:type="paragraph" w:customStyle="1" w:styleId="AB30B24FBCF74EDDA70EDBF26FFFB2ED">
    <w:name w:val="AB30B24FBCF74EDDA70EDBF26FFFB2ED"/>
  </w:style>
  <w:style w:type="paragraph" w:customStyle="1" w:styleId="44E63C88E49D4738BFD49D8D982C9587">
    <w:name w:val="44E63C88E49D4738BFD49D8D982C9587"/>
  </w:style>
  <w:style w:type="paragraph" w:customStyle="1" w:styleId="0058A491A47A416899471DB726C89E5F">
    <w:name w:val="0058A491A47A416899471DB726C89E5F"/>
  </w:style>
  <w:style w:type="paragraph" w:customStyle="1" w:styleId="660EB5899ADA4E99B89B712726A828B6">
    <w:name w:val="660EB5899ADA4E99B89B712726A828B6"/>
  </w:style>
  <w:style w:type="paragraph" w:customStyle="1" w:styleId="48CFA1933B434C5896B8907C113D8A4C">
    <w:name w:val="48CFA1933B434C5896B8907C113D8A4C"/>
  </w:style>
  <w:style w:type="paragraph" w:customStyle="1" w:styleId="5642D3D6896D4B4BAAC43DA9A828A48F">
    <w:name w:val="5642D3D6896D4B4BAAC43DA9A828A48F"/>
  </w:style>
  <w:style w:type="paragraph" w:customStyle="1" w:styleId="46D280B960994E7FB16806062D7D1C37">
    <w:name w:val="46D280B960994E7FB16806062D7D1C37"/>
  </w:style>
  <w:style w:type="paragraph" w:customStyle="1" w:styleId="0A65600C165343908A1CB4CEB922D9BA">
    <w:name w:val="0A65600C165343908A1CB4CEB922D9BA"/>
  </w:style>
  <w:style w:type="paragraph" w:customStyle="1" w:styleId="11BBA3F53B214848AF5DFE5BF773263D">
    <w:name w:val="11BBA3F53B214848AF5DFE5BF773263D"/>
  </w:style>
  <w:style w:type="paragraph" w:customStyle="1" w:styleId="E1BB95A501A64A6491C90EA00194670E">
    <w:name w:val="E1BB95A501A64A6491C90EA00194670E"/>
  </w:style>
  <w:style w:type="paragraph" w:customStyle="1" w:styleId="D04729224D504473A7004364503051BF">
    <w:name w:val="D04729224D504473A7004364503051BF"/>
  </w:style>
  <w:style w:type="paragraph" w:customStyle="1" w:styleId="EBF72BB645C84B959BEF8C30C96978F2">
    <w:name w:val="EBF72BB645C84B959BEF8C30C96978F2"/>
  </w:style>
  <w:style w:type="paragraph" w:customStyle="1" w:styleId="092E4D658A254B428AED046907D7340F">
    <w:name w:val="092E4D658A254B428AED046907D7340F"/>
  </w:style>
  <w:style w:type="paragraph" w:customStyle="1" w:styleId="195FA96E532B45BF8B1F756F2DB7EA38">
    <w:name w:val="195FA96E532B45BF8B1F756F2DB7EA38"/>
  </w:style>
  <w:style w:type="paragraph" w:customStyle="1" w:styleId="1FE200E898214157AB8A5D4D51B5E60F">
    <w:name w:val="1FE200E898214157AB8A5D4D51B5E60F"/>
  </w:style>
  <w:style w:type="paragraph" w:customStyle="1" w:styleId="060C00EF6E6747A3A783A0DB34F6DC5B">
    <w:name w:val="060C00EF6E6747A3A783A0DB34F6DC5B"/>
  </w:style>
  <w:style w:type="paragraph" w:customStyle="1" w:styleId="327F0605518844C4BE4933826E505896">
    <w:name w:val="327F0605518844C4BE4933826E505896"/>
  </w:style>
  <w:style w:type="paragraph" w:customStyle="1" w:styleId="411CFEB17D714B3CBEBB396535EF6B94">
    <w:name w:val="411CFEB17D714B3CBEBB396535EF6B94"/>
  </w:style>
  <w:style w:type="paragraph" w:customStyle="1" w:styleId="291DBCB415E245BD9C9572F56BEF99C2">
    <w:name w:val="291DBCB415E245BD9C9572F56BEF99C2"/>
  </w:style>
  <w:style w:type="paragraph" w:customStyle="1" w:styleId="FA524553777E4325A18E694022EC4859">
    <w:name w:val="FA524553777E4325A18E694022EC4859"/>
  </w:style>
  <w:style w:type="paragraph" w:customStyle="1" w:styleId="F8DD042812BF4288925CB305EF760CFE">
    <w:name w:val="F8DD042812BF4288925CB305EF760CFE"/>
  </w:style>
  <w:style w:type="paragraph" w:customStyle="1" w:styleId="48756851415744ABB52D8B1E0DB2C0A5">
    <w:name w:val="48756851415744ABB52D8B1E0DB2C0A5"/>
  </w:style>
  <w:style w:type="paragraph" w:customStyle="1" w:styleId="224D60006CDB4868B28AD37912557C3B">
    <w:name w:val="224D60006CDB4868B28AD37912557C3B"/>
  </w:style>
  <w:style w:type="paragraph" w:customStyle="1" w:styleId="6A43092483B743A78772DAF1C8A60294">
    <w:name w:val="6A43092483B743A78772DAF1C8A60294"/>
  </w:style>
  <w:style w:type="paragraph" w:customStyle="1" w:styleId="2BE18FFD0F5E4C86A6BF43D142CEEB63">
    <w:name w:val="2BE18FFD0F5E4C86A6BF43D142CEEB63"/>
  </w:style>
  <w:style w:type="paragraph" w:customStyle="1" w:styleId="D9F7D8A1FE9F44A2B6389C254045EB21">
    <w:name w:val="D9F7D8A1FE9F44A2B6389C254045EB21"/>
  </w:style>
  <w:style w:type="paragraph" w:customStyle="1" w:styleId="922834FE170345658316EAA0023173A8">
    <w:name w:val="922834FE170345658316EAA0023173A8"/>
  </w:style>
  <w:style w:type="paragraph" w:customStyle="1" w:styleId="4BE4D86C06C84393AAD22455DD2EA321">
    <w:name w:val="4BE4D86C06C84393AAD22455DD2EA321"/>
  </w:style>
  <w:style w:type="paragraph" w:customStyle="1" w:styleId="31A8AB54367F46C69296FF62C3FC40A0">
    <w:name w:val="31A8AB54367F46C69296FF62C3FC40A0"/>
  </w:style>
  <w:style w:type="paragraph" w:customStyle="1" w:styleId="9226A7DA4C25467F9FB547220E9AAC0D">
    <w:name w:val="9226A7DA4C25467F9FB547220E9AAC0D"/>
  </w:style>
  <w:style w:type="paragraph" w:customStyle="1" w:styleId="A71B808D14324D86B798AC704D9CB895">
    <w:name w:val="A71B808D14324D86B798AC704D9CB895"/>
  </w:style>
  <w:style w:type="paragraph" w:customStyle="1" w:styleId="B322A2CCA0694AD393166E607252E00B">
    <w:name w:val="B322A2CCA0694AD393166E607252E00B"/>
  </w:style>
  <w:style w:type="paragraph" w:customStyle="1" w:styleId="6B2732161B664917B30F682D88DFE232">
    <w:name w:val="6B2732161B664917B30F682D88DFE232"/>
  </w:style>
  <w:style w:type="paragraph" w:customStyle="1" w:styleId="E5D20D39627946189BE5CEB51BFF74BE">
    <w:name w:val="E5D20D39627946189BE5CEB51BFF74BE"/>
  </w:style>
  <w:style w:type="paragraph" w:customStyle="1" w:styleId="E641B7C7B76142AB90F3E8BB964F4386">
    <w:name w:val="E641B7C7B76142AB90F3E8BB964F4386"/>
  </w:style>
  <w:style w:type="paragraph" w:customStyle="1" w:styleId="ED5EE55389F944D8BC8EC84DB3089278">
    <w:name w:val="ED5EE55389F944D8BC8EC84DB3089278"/>
    <w:pPr>
      <w:spacing w:line="259" w:lineRule="auto"/>
    </w:pPr>
    <w:rPr>
      <w:kern w:val="0"/>
      <w:sz w:val="22"/>
      <w:szCs w:val="22"/>
      <w:lang w:val="en-US" w:eastAsia="en-US"/>
      <w14:ligatures w14:val="none"/>
    </w:rPr>
  </w:style>
  <w:style w:type="paragraph" w:customStyle="1" w:styleId="A4C6A4D7FA0140278A846D363B3425ED">
    <w:name w:val="A4C6A4D7FA0140278A846D363B3425ED"/>
    <w:pPr>
      <w:spacing w:line="259" w:lineRule="auto"/>
    </w:pPr>
    <w:rPr>
      <w:kern w:val="0"/>
      <w:sz w:val="22"/>
      <w:szCs w:val="22"/>
      <w:lang w:val="en-US" w:eastAsia="en-US"/>
      <w14:ligatures w14:val="none"/>
    </w:rPr>
  </w:style>
  <w:style w:type="paragraph" w:customStyle="1" w:styleId="1FB4222E2B954DF4895056B596399A22">
    <w:name w:val="1FB4222E2B954DF4895056B596399A22"/>
    <w:pPr>
      <w:spacing w:line="259" w:lineRule="auto"/>
    </w:pPr>
    <w:rPr>
      <w:kern w:val="0"/>
      <w:sz w:val="22"/>
      <w:szCs w:val="22"/>
      <w:lang w:val="en-US" w:eastAsia="en-US"/>
      <w14:ligatures w14:val="none"/>
    </w:rPr>
  </w:style>
  <w:style w:type="paragraph" w:customStyle="1" w:styleId="E93C261A80C4452F95C5D0026C30ED84">
    <w:name w:val="E93C261A80C4452F95C5D0026C30ED84"/>
    <w:pPr>
      <w:spacing w:line="259" w:lineRule="auto"/>
    </w:pPr>
    <w:rPr>
      <w:kern w:val="0"/>
      <w:sz w:val="22"/>
      <w:szCs w:val="22"/>
      <w:lang w:val="en-US" w:eastAsia="en-US"/>
      <w14:ligatures w14:val="none"/>
    </w:rPr>
  </w:style>
  <w:style w:type="paragraph" w:customStyle="1" w:styleId="64A36A4E096441C4A6D692FD2A388896">
    <w:name w:val="64A36A4E096441C4A6D692FD2A388896"/>
    <w:pPr>
      <w:spacing w:line="259" w:lineRule="auto"/>
    </w:pPr>
    <w:rPr>
      <w:kern w:val="0"/>
      <w:sz w:val="22"/>
      <w:szCs w:val="22"/>
      <w:lang w:val="en-US" w:eastAsia="en-US"/>
      <w14:ligatures w14:val="none"/>
    </w:rPr>
  </w:style>
  <w:style w:type="paragraph" w:customStyle="1" w:styleId="0B76FF9B997C4F8EBB5F6691A1FC8372">
    <w:name w:val="0B76FF9B997C4F8EBB5F6691A1FC8372"/>
    <w:pPr>
      <w:spacing w:line="259" w:lineRule="auto"/>
    </w:pPr>
    <w:rPr>
      <w:kern w:val="0"/>
      <w:sz w:val="22"/>
      <w:szCs w:val="22"/>
      <w:lang w:val="en-US" w:eastAsia="en-US"/>
      <w14:ligatures w14:val="none"/>
    </w:rPr>
  </w:style>
  <w:style w:type="paragraph" w:customStyle="1" w:styleId="14DC53D4C9294294B75DD24D67705688">
    <w:name w:val="14DC53D4C9294294B75DD24D67705688"/>
    <w:pPr>
      <w:spacing w:line="259" w:lineRule="auto"/>
    </w:pPr>
    <w:rPr>
      <w:kern w:val="0"/>
      <w:sz w:val="22"/>
      <w:szCs w:val="22"/>
      <w:lang w:val="en-US" w:eastAsia="en-US"/>
      <w14:ligatures w14:val="none"/>
    </w:rPr>
  </w:style>
  <w:style w:type="paragraph" w:customStyle="1" w:styleId="C8C43B3B6B90477DABDEE1A52FDF0364">
    <w:name w:val="C8C43B3B6B90477DABDEE1A52FDF0364"/>
    <w:pPr>
      <w:spacing w:line="259" w:lineRule="auto"/>
    </w:pPr>
    <w:rPr>
      <w:kern w:val="0"/>
      <w:sz w:val="22"/>
      <w:szCs w:val="22"/>
      <w:lang w:val="en-US" w:eastAsia="en-US"/>
      <w14:ligatures w14:val="none"/>
    </w:rPr>
  </w:style>
  <w:style w:type="paragraph" w:customStyle="1" w:styleId="68E432C7092E4454A3154529934CC4DC">
    <w:name w:val="68E432C7092E4454A3154529934CC4DC"/>
    <w:pPr>
      <w:spacing w:line="259" w:lineRule="auto"/>
    </w:pPr>
    <w:rPr>
      <w:kern w:val="0"/>
      <w:sz w:val="22"/>
      <w:szCs w:val="22"/>
      <w:lang w:val="en-US" w:eastAsia="en-US"/>
      <w14:ligatures w14:val="none"/>
    </w:rPr>
  </w:style>
  <w:style w:type="paragraph" w:customStyle="1" w:styleId="83B09F2C73B54B138AD8204C2C0FE14F">
    <w:name w:val="83B09F2C73B54B138AD8204C2C0FE14F"/>
    <w:pPr>
      <w:spacing w:line="259" w:lineRule="auto"/>
    </w:pPr>
    <w:rPr>
      <w:kern w:val="0"/>
      <w:sz w:val="22"/>
      <w:szCs w:val="22"/>
      <w:lang w:val="en-US" w:eastAsia="en-US"/>
      <w14:ligatures w14:val="none"/>
    </w:rPr>
  </w:style>
  <w:style w:type="paragraph" w:customStyle="1" w:styleId="B4E62555767F469283D264CC8CDD755E">
    <w:name w:val="B4E62555767F469283D264CC8CDD755E"/>
    <w:pPr>
      <w:spacing w:line="259" w:lineRule="auto"/>
    </w:pPr>
    <w:rPr>
      <w:kern w:val="0"/>
      <w:sz w:val="22"/>
      <w:szCs w:val="22"/>
      <w:lang w:val="en-US" w:eastAsia="en-US"/>
      <w14:ligatures w14:val="none"/>
    </w:rPr>
  </w:style>
  <w:style w:type="paragraph" w:customStyle="1" w:styleId="497E2DC5FC8F47838F3F08EED02AD29A">
    <w:name w:val="497E2DC5FC8F47838F3F08EED02AD29A"/>
    <w:pPr>
      <w:spacing w:line="259" w:lineRule="auto"/>
    </w:pPr>
    <w:rPr>
      <w:kern w:val="0"/>
      <w:sz w:val="22"/>
      <w:szCs w:val="22"/>
      <w:lang w:val="en-US" w:eastAsia="en-US"/>
      <w14:ligatures w14:val="none"/>
    </w:rPr>
  </w:style>
  <w:style w:type="paragraph" w:customStyle="1" w:styleId="9B5F3C40909F4577A41926CA39189F4B">
    <w:name w:val="9B5F3C40909F4577A41926CA39189F4B"/>
    <w:pPr>
      <w:spacing w:line="259" w:lineRule="auto"/>
    </w:pPr>
    <w:rPr>
      <w:kern w:val="0"/>
      <w:sz w:val="22"/>
      <w:szCs w:val="22"/>
      <w:lang w:val="en-US" w:eastAsia="en-US"/>
      <w14:ligatures w14:val="none"/>
    </w:rPr>
  </w:style>
  <w:style w:type="paragraph" w:customStyle="1" w:styleId="7DD68677BA394DBCB02E2108E08F1785">
    <w:name w:val="7DD68677BA394DBCB02E2108E08F1785"/>
    <w:pPr>
      <w:spacing w:line="259" w:lineRule="auto"/>
    </w:pPr>
    <w:rPr>
      <w:kern w:val="0"/>
      <w:sz w:val="22"/>
      <w:szCs w:val="22"/>
      <w:lang w:val="en-US" w:eastAsia="en-US"/>
      <w14:ligatures w14:val="none"/>
    </w:rPr>
  </w:style>
  <w:style w:type="paragraph" w:customStyle="1" w:styleId="90593128F01847AEAAE9BC37AACD67C8">
    <w:name w:val="90593128F01847AEAAE9BC37AACD67C8"/>
    <w:pPr>
      <w:spacing w:line="259" w:lineRule="auto"/>
    </w:pPr>
    <w:rPr>
      <w:kern w:val="0"/>
      <w:sz w:val="22"/>
      <w:szCs w:val="22"/>
      <w:lang w:val="en-US" w:eastAsia="en-US"/>
      <w14:ligatures w14:val="none"/>
    </w:rPr>
  </w:style>
  <w:style w:type="paragraph" w:customStyle="1" w:styleId="91BA4DC0883F46B08C98239A61A562DE">
    <w:name w:val="91BA4DC0883F46B08C98239A61A562DE"/>
    <w:pPr>
      <w:spacing w:line="259" w:lineRule="auto"/>
    </w:pPr>
    <w:rPr>
      <w:kern w:val="0"/>
      <w:sz w:val="22"/>
      <w:szCs w:val="22"/>
      <w:lang w:val="en-US" w:eastAsia="en-US"/>
      <w14:ligatures w14:val="none"/>
    </w:rPr>
  </w:style>
  <w:style w:type="paragraph" w:customStyle="1" w:styleId="0448E95DFC4F498089CB70CFB2106A27">
    <w:name w:val="0448E95DFC4F498089CB70CFB2106A27"/>
    <w:pPr>
      <w:spacing w:line="259" w:lineRule="auto"/>
    </w:pPr>
    <w:rPr>
      <w:kern w:val="0"/>
      <w:sz w:val="22"/>
      <w:szCs w:val="22"/>
      <w:lang w:val="en-US" w:eastAsia="en-US"/>
      <w14:ligatures w14:val="none"/>
    </w:rPr>
  </w:style>
  <w:style w:type="paragraph" w:customStyle="1" w:styleId="46CF0C4C632448C48684D989526ED54C">
    <w:name w:val="46CF0C4C632448C48684D989526ED54C"/>
    <w:pPr>
      <w:spacing w:line="259" w:lineRule="auto"/>
    </w:pPr>
    <w:rPr>
      <w:kern w:val="0"/>
      <w:sz w:val="22"/>
      <w:szCs w:val="22"/>
      <w:lang w:val="en-US" w:eastAsia="en-US"/>
      <w14:ligatures w14:val="none"/>
    </w:rPr>
  </w:style>
  <w:style w:type="paragraph" w:customStyle="1" w:styleId="A7F60B35F5814F958BE8DADF33C5A713">
    <w:name w:val="A7F60B35F5814F958BE8DADF33C5A713"/>
    <w:pPr>
      <w:spacing w:line="259" w:lineRule="auto"/>
    </w:pPr>
    <w:rPr>
      <w:kern w:val="0"/>
      <w:sz w:val="22"/>
      <w:szCs w:val="22"/>
      <w:lang w:val="en-US" w:eastAsia="en-US"/>
      <w14:ligatures w14:val="none"/>
    </w:rPr>
  </w:style>
  <w:style w:type="paragraph" w:customStyle="1" w:styleId="2F3D0636FAD649D482706498EA236545">
    <w:name w:val="2F3D0636FAD649D482706498EA236545"/>
    <w:pPr>
      <w:spacing w:line="259" w:lineRule="auto"/>
    </w:pPr>
    <w:rPr>
      <w:kern w:val="0"/>
      <w:sz w:val="22"/>
      <w:szCs w:val="22"/>
      <w:lang w:val="en-US" w:eastAsia="en-US"/>
      <w14:ligatures w14:val="none"/>
    </w:rPr>
  </w:style>
  <w:style w:type="paragraph" w:customStyle="1" w:styleId="90A25B75564646848F5CA44CA7B504A3">
    <w:name w:val="90A25B75564646848F5CA44CA7B504A3"/>
    <w:pPr>
      <w:spacing w:line="259" w:lineRule="auto"/>
    </w:pPr>
    <w:rPr>
      <w:kern w:val="0"/>
      <w:sz w:val="22"/>
      <w:szCs w:val="22"/>
      <w:lang w:val="en-US" w:eastAsia="en-US"/>
      <w14:ligatures w14:val="none"/>
    </w:rPr>
  </w:style>
  <w:style w:type="paragraph" w:customStyle="1" w:styleId="72FBB6EA1EEE414A8ABD6282547189E8">
    <w:name w:val="72FBB6EA1EEE414A8ABD6282547189E8"/>
    <w:pPr>
      <w:spacing w:line="259" w:lineRule="auto"/>
    </w:pPr>
    <w:rPr>
      <w:kern w:val="0"/>
      <w:sz w:val="22"/>
      <w:szCs w:val="22"/>
      <w:lang w:val="en-US" w:eastAsia="en-US"/>
      <w14:ligatures w14:val="none"/>
    </w:rPr>
  </w:style>
  <w:style w:type="paragraph" w:customStyle="1" w:styleId="7611AFA5ACA44788B16D9CD8B4C4D9DE">
    <w:name w:val="7611AFA5ACA44788B16D9CD8B4C4D9DE"/>
    <w:pPr>
      <w:spacing w:line="259" w:lineRule="auto"/>
    </w:pPr>
    <w:rPr>
      <w:kern w:val="0"/>
      <w:sz w:val="22"/>
      <w:szCs w:val="22"/>
      <w:lang w:val="en-US" w:eastAsia="en-US"/>
      <w14:ligatures w14:val="none"/>
    </w:rPr>
  </w:style>
  <w:style w:type="paragraph" w:customStyle="1" w:styleId="B51E578919A0459F9541F8D1E7BF9532">
    <w:name w:val="B51E578919A0459F9541F8D1E7BF9532"/>
    <w:pPr>
      <w:spacing w:line="259" w:lineRule="auto"/>
    </w:pPr>
    <w:rPr>
      <w:kern w:val="0"/>
      <w:sz w:val="22"/>
      <w:szCs w:val="22"/>
      <w:lang w:val="en-US" w:eastAsia="en-US"/>
      <w14:ligatures w14:val="none"/>
    </w:rPr>
  </w:style>
  <w:style w:type="paragraph" w:customStyle="1" w:styleId="3E78DFE1662548C29F1A05E5FA09BB25">
    <w:name w:val="3E78DFE1662548C29F1A05E5FA09BB25"/>
    <w:pPr>
      <w:spacing w:line="259" w:lineRule="auto"/>
    </w:pPr>
    <w:rPr>
      <w:kern w:val="0"/>
      <w:sz w:val="22"/>
      <w:szCs w:val="22"/>
      <w:lang w:val="en-US" w:eastAsia="en-US"/>
      <w14:ligatures w14:val="none"/>
    </w:rPr>
  </w:style>
  <w:style w:type="paragraph" w:customStyle="1" w:styleId="EE7EB2FC181D47D28C8F6C7D79026574">
    <w:name w:val="EE7EB2FC181D47D28C8F6C7D79026574"/>
    <w:pPr>
      <w:spacing w:line="259" w:lineRule="auto"/>
    </w:pPr>
    <w:rPr>
      <w:kern w:val="0"/>
      <w:sz w:val="22"/>
      <w:szCs w:val="22"/>
      <w:lang w:val="en-US" w:eastAsia="en-US"/>
      <w14:ligatures w14:val="none"/>
    </w:rPr>
  </w:style>
  <w:style w:type="paragraph" w:customStyle="1" w:styleId="307890D2AECA45A885DDC3E5DF9B098B">
    <w:name w:val="307890D2AECA45A885DDC3E5DF9B098B"/>
    <w:pPr>
      <w:spacing w:line="259" w:lineRule="auto"/>
    </w:pPr>
    <w:rPr>
      <w:kern w:val="0"/>
      <w:sz w:val="22"/>
      <w:szCs w:val="22"/>
      <w:lang w:val="en-US" w:eastAsia="en-US"/>
      <w14:ligatures w14:val="none"/>
    </w:rPr>
  </w:style>
  <w:style w:type="paragraph" w:customStyle="1" w:styleId="6589BF9CD49641FEA71D992571C1B519">
    <w:name w:val="6589BF9CD49641FEA71D992571C1B519"/>
    <w:pPr>
      <w:spacing w:line="259" w:lineRule="auto"/>
    </w:pPr>
    <w:rPr>
      <w:kern w:val="0"/>
      <w:sz w:val="22"/>
      <w:szCs w:val="22"/>
      <w:lang w:val="en-US" w:eastAsia="en-US"/>
      <w14:ligatures w14:val="none"/>
    </w:rPr>
  </w:style>
  <w:style w:type="paragraph" w:customStyle="1" w:styleId="1983DE504F5247389739296DB83FDF4A">
    <w:name w:val="1983DE504F5247389739296DB83FDF4A"/>
    <w:pPr>
      <w:spacing w:line="259" w:lineRule="auto"/>
    </w:pPr>
    <w:rPr>
      <w:kern w:val="0"/>
      <w:sz w:val="22"/>
      <w:szCs w:val="22"/>
      <w:lang w:val="en-US" w:eastAsia="en-US"/>
      <w14:ligatures w14:val="none"/>
    </w:rPr>
  </w:style>
  <w:style w:type="paragraph" w:customStyle="1" w:styleId="05629815EC1E4311B13925471EFC1FBF">
    <w:name w:val="05629815EC1E4311B13925471EFC1FBF"/>
    <w:pPr>
      <w:spacing w:line="259" w:lineRule="auto"/>
    </w:pPr>
    <w:rPr>
      <w:kern w:val="0"/>
      <w:sz w:val="22"/>
      <w:szCs w:val="22"/>
      <w:lang w:val="en-US" w:eastAsia="en-US"/>
      <w14:ligatures w14:val="none"/>
    </w:rPr>
  </w:style>
  <w:style w:type="paragraph" w:customStyle="1" w:styleId="49DAFFBEC1F14CE598390BBE0ABDAA04">
    <w:name w:val="49DAFFBEC1F14CE598390BBE0ABDAA04"/>
    <w:pPr>
      <w:spacing w:line="259" w:lineRule="auto"/>
    </w:pPr>
    <w:rPr>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4E2087982894382F662C9EDF6A094" ma:contentTypeVersion="7" ma:contentTypeDescription="Create a new document." ma:contentTypeScope="" ma:versionID="856998bb0d6f77d3960841c727aa20de">
  <xsd:schema xmlns:xsd="http://www.w3.org/2001/XMLSchema" xmlns:xs="http://www.w3.org/2001/XMLSchema" xmlns:p="http://schemas.microsoft.com/office/2006/metadata/properties" xmlns:ns2="94868867-db85-4575-b2d6-6063c06ab9c4" targetNamespace="http://schemas.microsoft.com/office/2006/metadata/properties" ma:root="true" ma:fieldsID="8c764844163503deacaba131dcf003f7" ns2:_="">
    <xsd:import namespace="94868867-db85-4575-b2d6-6063c06ab9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8867-db85-4575-b2d6-6063c06ab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C645C-E37B-41F0-A307-0DBD9304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8867-db85-4575-b2d6-6063c06ab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3.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FD7813-FB57-402E-8B1B-F356D976C2B2}">
  <ds:schemaRefs>
    <ds:schemaRef ds:uri="http://schemas.openxmlformats.org/officeDocument/2006/bibliography"/>
  </ds:schemaRefs>
</ds:datastoreItem>
</file>

<file path=customXml/itemProps5.xml><?xml version="1.0" encoding="utf-8"?>
<ds:datastoreItem xmlns:ds="http://schemas.openxmlformats.org/officeDocument/2006/customXml" ds:itemID="{1643BC71-88D3-4A33-8926-0D11D29A589E}">
  <ds:schemaRefs>
    <ds:schemaRef ds:uri="http://schemas.openxmlformats.org/officeDocument/2006/bibliography"/>
  </ds:schemaRefs>
</ds:datastoreItem>
</file>

<file path=customXml/itemProps6.xml><?xml version="1.0" encoding="utf-8"?>
<ds:datastoreItem xmlns:ds="http://schemas.openxmlformats.org/officeDocument/2006/customXml" ds:itemID="{16393313-BBCF-4B4A-B1F0-67B2E378C293}">
  <ds:schemaRefs>
    <ds:schemaRef ds:uri="http://schemas.openxmlformats.org/officeDocument/2006/bibliography"/>
  </ds:schemaRefs>
</ds:datastoreItem>
</file>

<file path=customXml/itemProps7.xml><?xml version="1.0" encoding="utf-8"?>
<ds:datastoreItem xmlns:ds="http://schemas.openxmlformats.org/officeDocument/2006/customXml" ds:itemID="{21CC5BE3-A5EF-4F4D-BD4E-EA62593C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101</Pages>
  <Words>36048</Words>
  <Characters>205479</Characters>
  <Application>Microsoft Office Word</Application>
  <DocSecurity>0</DocSecurity>
  <Lines>1712</Lines>
  <Paragraphs>482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241045</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subject/>
  <dc:creator>Efraim Jimenez, consultor</dc:creator>
  <cp:keywords/>
  <dc:description/>
  <cp:lastModifiedBy>Aguilar Carlota</cp:lastModifiedBy>
  <cp:revision>11</cp:revision>
  <cp:lastPrinted>2017-10-04T03:18:00Z</cp:lastPrinted>
  <dcterms:created xsi:type="dcterms:W3CDTF">2025-05-12T16:02:00Z</dcterms:created>
  <dcterms:modified xsi:type="dcterms:W3CDTF">2025-05-13T16:52:00Z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852ec99f-a9b8-4875-afa1-b6c3c452fcab</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0x0101003AC4E2087982894382F662C9EDF6A094</vt:lpwstr>
  </property>
</Properties>
</file>